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B04C30" w14:textId="77777777" w:rsidR="00773DD0" w:rsidRDefault="00F44A08" w:rsidP="00F44A08">
      <w:pPr>
        <w:pStyle w:val="Ttulo1"/>
        <w:numPr>
          <w:ilvl w:val="0"/>
          <w:numId w:val="2"/>
        </w:numPr>
      </w:pPr>
      <w:r>
        <w:t>OBJETIVO</w:t>
      </w:r>
    </w:p>
    <w:p w14:paraId="4B677539" w14:textId="77777777" w:rsidR="00F242BA" w:rsidRDefault="00F242BA" w:rsidP="00F44A08">
      <w:pPr>
        <w:rPr>
          <w:rFonts w:cs="Arial"/>
          <w:szCs w:val="26"/>
        </w:rPr>
      </w:pPr>
    </w:p>
    <w:p w14:paraId="5B08F6DA" w14:textId="77777777" w:rsidR="00F44A08" w:rsidRDefault="00F44A08" w:rsidP="00F44A08">
      <w:pPr>
        <w:rPr>
          <w:rFonts w:cs="Arial"/>
          <w:szCs w:val="26"/>
        </w:rPr>
      </w:pPr>
      <w:r w:rsidRPr="00F44A08">
        <w:rPr>
          <w:rFonts w:cs="Arial"/>
          <w:szCs w:val="26"/>
        </w:rPr>
        <w:t xml:space="preserve">Establecer los requerimientos </w:t>
      </w:r>
      <w:r w:rsidR="00602229">
        <w:rPr>
          <w:rFonts w:cs="Arial"/>
          <w:szCs w:val="26"/>
        </w:rPr>
        <w:t>sobre</w:t>
      </w:r>
      <w:r w:rsidRPr="00F44A08">
        <w:rPr>
          <w:rFonts w:cs="Arial"/>
          <w:szCs w:val="26"/>
        </w:rPr>
        <w:t xml:space="preserve"> la </w:t>
      </w:r>
      <w:r>
        <w:rPr>
          <w:rFonts w:cs="Arial"/>
          <w:szCs w:val="26"/>
        </w:rPr>
        <w:t xml:space="preserve">realización de los </w:t>
      </w:r>
      <w:r w:rsidR="00602229">
        <w:rPr>
          <w:rFonts w:cs="Arial"/>
          <w:szCs w:val="26"/>
        </w:rPr>
        <w:t>Simulacros de Em</w:t>
      </w:r>
      <w:r>
        <w:rPr>
          <w:rFonts w:cs="Arial"/>
          <w:szCs w:val="26"/>
        </w:rPr>
        <w:t xml:space="preserve">ergencia, para promover la </w:t>
      </w:r>
      <w:r w:rsidRPr="00F44A08">
        <w:rPr>
          <w:rFonts w:cs="Arial"/>
          <w:szCs w:val="26"/>
        </w:rPr>
        <w:t>prevención y protección contra contingencias en el centro de trabajo</w:t>
      </w:r>
      <w:r>
        <w:rPr>
          <w:rFonts w:cs="Arial"/>
          <w:szCs w:val="26"/>
        </w:rPr>
        <w:t>, de manera práctica para los integrantes de las brigadas de emergencia.</w:t>
      </w:r>
    </w:p>
    <w:p w14:paraId="01F2FFA9" w14:textId="77777777" w:rsidR="00602229" w:rsidRDefault="00602229" w:rsidP="00F44A08">
      <w:pPr>
        <w:rPr>
          <w:rFonts w:cs="Arial"/>
          <w:szCs w:val="26"/>
        </w:rPr>
      </w:pPr>
    </w:p>
    <w:p w14:paraId="6246B08A" w14:textId="77777777" w:rsidR="00F44A08" w:rsidRPr="00F44A08" w:rsidRDefault="00F44A08" w:rsidP="00F44A08">
      <w:pPr>
        <w:pStyle w:val="Ttulo1"/>
        <w:numPr>
          <w:ilvl w:val="0"/>
          <w:numId w:val="2"/>
        </w:numPr>
      </w:pPr>
      <w:r>
        <w:t>ALCANCE</w:t>
      </w:r>
    </w:p>
    <w:p w14:paraId="4CEF762D" w14:textId="77777777" w:rsidR="001D7A23" w:rsidRDefault="001D7A23" w:rsidP="00F44A08"/>
    <w:p w14:paraId="1995773D" w14:textId="77777777" w:rsidR="00F44A08" w:rsidRDefault="00602229" w:rsidP="00F44A08">
      <w:r>
        <w:t xml:space="preserve">Aplicable a todos los centros de trabajo, donde la periodicidad para la realización de los Simulacros de Emergencia en aquellos que cuentan con un grado de riesgo ORDINARIO es de 1 vez al año, mientras que los de riesgo de incendio ALTO será 2 veces al año. </w:t>
      </w:r>
    </w:p>
    <w:p w14:paraId="160C1F4D" w14:textId="77777777" w:rsidR="00602229" w:rsidRDefault="00602229" w:rsidP="00F44A08"/>
    <w:p w14:paraId="6A199307" w14:textId="77777777" w:rsidR="00602229" w:rsidRDefault="00602229" w:rsidP="00602229">
      <w:pPr>
        <w:pStyle w:val="Ttulo1"/>
        <w:numPr>
          <w:ilvl w:val="0"/>
          <w:numId w:val="2"/>
        </w:numPr>
      </w:pPr>
      <w:r>
        <w:t>RESPONSABILIDADES</w:t>
      </w:r>
    </w:p>
    <w:p w14:paraId="722A6D60" w14:textId="77777777" w:rsidR="001D7A23" w:rsidRDefault="001D7A23" w:rsidP="00602229"/>
    <w:p w14:paraId="60B2E30D" w14:textId="77777777" w:rsidR="00084881" w:rsidRDefault="00FA5755" w:rsidP="00602229">
      <w:r>
        <w:t>Será responsabilidad del Coordinador General de la</w:t>
      </w:r>
      <w:r w:rsidR="00602229">
        <w:t xml:space="preserve"> Brigada de Emergencias la planeación, coordinación, realización y cierre de los Simulacros de Emergencia, con la periodicidad aplicable al centro de trabajo. </w:t>
      </w:r>
    </w:p>
    <w:p w14:paraId="49BD4835" w14:textId="173E12CB" w:rsidR="00602229" w:rsidRDefault="00602229" w:rsidP="00602229">
      <w:r>
        <w:t xml:space="preserve">Siendo también su responsabilidad, presentar de forma escrita la evidencia del proceso para la realización del simulacro, llenando los formatos que se presentan en este programa sobre la </w:t>
      </w:r>
      <w:r w:rsidRPr="00084881">
        <w:rPr>
          <w:b/>
        </w:rPr>
        <w:t xml:space="preserve">Planeación del Simulacro </w:t>
      </w:r>
      <w:r w:rsidR="0073283D" w:rsidRPr="00084881">
        <w:rPr>
          <w:b/>
        </w:rPr>
        <w:t xml:space="preserve">de Emergencia </w:t>
      </w:r>
      <w:r>
        <w:t xml:space="preserve">y </w:t>
      </w:r>
      <w:r w:rsidRPr="00084881">
        <w:rPr>
          <w:b/>
        </w:rPr>
        <w:t>Resultados del Simulacro</w:t>
      </w:r>
      <w:r w:rsidR="0073283D" w:rsidRPr="00084881">
        <w:rPr>
          <w:b/>
        </w:rPr>
        <w:t xml:space="preserve"> de Emergencia</w:t>
      </w:r>
      <w:r w:rsidR="0061372F">
        <w:rPr>
          <w:b/>
        </w:rPr>
        <w:t>.</w:t>
      </w:r>
    </w:p>
    <w:p w14:paraId="7D87F4F6" w14:textId="77777777" w:rsidR="00602229" w:rsidRDefault="00602229" w:rsidP="00602229"/>
    <w:p w14:paraId="63CD8E28" w14:textId="77777777" w:rsidR="00DE3F7E" w:rsidRPr="00DE3F7E" w:rsidRDefault="00602229" w:rsidP="00602229">
      <w:pPr>
        <w:pStyle w:val="Ttulo1"/>
        <w:numPr>
          <w:ilvl w:val="0"/>
          <w:numId w:val="2"/>
        </w:numPr>
      </w:pPr>
      <w:r>
        <w:t>DEFINICIONES</w:t>
      </w:r>
    </w:p>
    <w:p w14:paraId="5FD37A0F" w14:textId="77777777" w:rsidR="001D7A23" w:rsidRDefault="001D7A23" w:rsidP="00602229">
      <w:pPr>
        <w:rPr>
          <w:b/>
          <w:bCs/>
        </w:rPr>
      </w:pPr>
    </w:p>
    <w:p w14:paraId="4EFE7002" w14:textId="77777777" w:rsidR="00602229" w:rsidRDefault="00DE3F7E" w:rsidP="00602229">
      <w:r w:rsidRPr="00DE3F7E">
        <w:rPr>
          <w:b/>
          <w:bCs/>
        </w:rPr>
        <w:t xml:space="preserve">Brigada contra incendio: </w:t>
      </w:r>
      <w:r w:rsidRPr="00DE3F7E">
        <w:t>El grupo de trabajadores organizados en una Unidad interna de protección civil, capacitados y adiestrados en operaciones básicas de prevención y protección contra incendio y atención de emergencias de incendio, tales como identificación de los riesgos de la situación de emergencia por incendio; manejo de equipos o sistemas contra incendio, al igual que en acciones de evacuación, comunicación y primeros auxilios, entre otras.</w:t>
      </w:r>
    </w:p>
    <w:p w14:paraId="121BDF69" w14:textId="77777777" w:rsidR="00DE3F7E" w:rsidRDefault="00DE3F7E" w:rsidP="00602229">
      <w:r w:rsidRPr="00DE3F7E">
        <w:rPr>
          <w:b/>
          <w:bCs/>
        </w:rPr>
        <w:t xml:space="preserve">Centro de trabajo: </w:t>
      </w:r>
      <w:r w:rsidRPr="00DE3F7E">
        <w:t>Todos aquellos lugares tales como edificios, locales, instalaciones y áreas, en los que se realicen actividades de producción, comercialización, transporte y almacenamiento o prestación de servicios, o en el que laboren personas que estén sujetas a una relación de trabajo.</w:t>
      </w:r>
    </w:p>
    <w:p w14:paraId="52567B16" w14:textId="77777777" w:rsidR="00DE3F7E" w:rsidRDefault="00DE3F7E" w:rsidP="00DE3F7E">
      <w:r w:rsidRPr="00DE3F7E">
        <w:rPr>
          <w:b/>
        </w:rPr>
        <w:t>Simulacro:</w:t>
      </w:r>
      <w:r>
        <w:t xml:space="preserve"> Práctica acerca de cómo se debe actuar en caso de una emergencia, siguiendo un plan previamente establecido basado en procedimientos de seguridad y protección. Pone a prueba la capacidad de respuesta de los brigadistas y su ejercicio permite evaluar retroalimentar el Programa Interno de Protección Civil. </w:t>
      </w:r>
    </w:p>
    <w:p w14:paraId="5ABCE0D2" w14:textId="77777777" w:rsidR="00DE3F7E" w:rsidRDefault="00DE3F7E" w:rsidP="00DE3F7E">
      <w:r w:rsidRPr="00DE3F7E">
        <w:rPr>
          <w:b/>
          <w:bCs/>
        </w:rPr>
        <w:t xml:space="preserve">Programas de Protección Civil: </w:t>
      </w:r>
      <w:r w:rsidRPr="00DE3F7E">
        <w:t xml:space="preserve">Son los instrumentos de planeación para definir y establecer acciones destinadas a la prevención de calamidades, incluyendo las emergencias de incendio y la atención de su impacto en las empresas, industrias, instituciones u organismos del sector público, social y privado. Se basan en un diagnóstico y se dividen en tres subprogramas: prevención, auxilio </w:t>
      </w:r>
      <w:r w:rsidRPr="00DE3F7E">
        <w:lastRenderedPageBreak/>
        <w:t>y apoyo. También son</w:t>
      </w:r>
      <w:r w:rsidRPr="00DE3F7E">
        <w:rPr>
          <w:rFonts w:cs="Arial"/>
          <w:color w:val="000000"/>
          <w:sz w:val="18"/>
          <w:szCs w:val="18"/>
        </w:rPr>
        <w:t xml:space="preserve"> </w:t>
      </w:r>
      <w:r w:rsidRPr="00DE3F7E">
        <w:t>considerados por diferentes entidades federativas como programas internos, específicos o especiales de protección civil.</w:t>
      </w:r>
    </w:p>
    <w:p w14:paraId="1B09AC5C" w14:textId="77777777" w:rsidR="001D7A23" w:rsidRDefault="001D7A23" w:rsidP="00DE3F7E"/>
    <w:p w14:paraId="5D26179E" w14:textId="77777777" w:rsidR="00DE3F7E" w:rsidRDefault="00337CA2" w:rsidP="00DE3F7E">
      <w:pPr>
        <w:pStyle w:val="Ttulo1"/>
        <w:numPr>
          <w:ilvl w:val="0"/>
          <w:numId w:val="2"/>
        </w:numPr>
      </w:pPr>
      <w:r>
        <w:t>PROGRAMA PARA LA REALIZACIÓN DE SIMULACROS DE EMERGENCIA</w:t>
      </w:r>
    </w:p>
    <w:p w14:paraId="1964EC35" w14:textId="77777777" w:rsidR="001D7A23" w:rsidRDefault="001D7A23" w:rsidP="00DE3F7E"/>
    <w:p w14:paraId="4FC65EA2" w14:textId="77777777" w:rsidR="00DE3F7E" w:rsidRDefault="0073283D" w:rsidP="00DE3F7E">
      <w:r>
        <w:t>Los Simulacros de Emergencia deberán ser realizados con una peri</w:t>
      </w:r>
      <w:r w:rsidR="00084881">
        <w:t>odi</w:t>
      </w:r>
      <w:r>
        <w:t>cidad acorde al Grado de Riesgo de Incendio:</w:t>
      </w:r>
    </w:p>
    <w:p w14:paraId="08293B3B" w14:textId="77777777" w:rsidR="0073283D" w:rsidRDefault="0073283D" w:rsidP="00DE3F7E">
      <w:r>
        <w:rPr>
          <w:noProof/>
          <w:lang w:eastAsia="es-MX"/>
        </w:rPr>
        <mc:AlternateContent>
          <mc:Choice Requires="wps">
            <w:drawing>
              <wp:anchor distT="45720" distB="45720" distL="114300" distR="114300" simplePos="0" relativeHeight="251659264" behindDoc="0" locked="0" layoutInCell="1" allowOverlap="1" wp14:anchorId="66A7E77D" wp14:editId="52688F29">
                <wp:simplePos x="0" y="0"/>
                <wp:positionH relativeFrom="column">
                  <wp:posOffset>2101215</wp:posOffset>
                </wp:positionH>
                <wp:positionV relativeFrom="paragraph">
                  <wp:posOffset>775970</wp:posOffset>
                </wp:positionV>
                <wp:extent cx="904875" cy="542925"/>
                <wp:effectExtent l="0" t="0" r="28575" b="2857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875" cy="542925"/>
                        </a:xfrm>
                        <a:prstGeom prst="rect">
                          <a:avLst/>
                        </a:prstGeom>
                        <a:solidFill>
                          <a:srgbClr val="FFFFFF"/>
                        </a:solidFill>
                        <a:ln w="9525">
                          <a:solidFill>
                            <a:schemeClr val="bg1"/>
                          </a:solidFill>
                          <a:miter lim="800000"/>
                          <a:headEnd/>
                          <a:tailEnd/>
                        </a:ln>
                      </wps:spPr>
                      <wps:txbx>
                        <w:txbxContent>
                          <w:p w14:paraId="0729DB57" w14:textId="77777777" w:rsidR="0073283D" w:rsidRPr="0073283D" w:rsidRDefault="0073283D">
                            <w:pPr>
                              <w:rPr>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6A7E77D" id="_x0000_t202" coordsize="21600,21600" o:spt="202" path="m,l,21600r21600,l21600,xe">
                <v:stroke joinstyle="miter"/>
                <v:path gradientshapeok="t" o:connecttype="rect"/>
              </v:shapetype>
              <v:shape id="Text Box 2" o:spid="_x0000_s1026" type="#_x0000_t202" style="position:absolute;left:0;text-align:left;margin-left:165.45pt;margin-top:61.1pt;width:71.25pt;height:42.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" strokecolor="white [3212]">
                <v:textbox>
                  <w:txbxContent>
                    <w:p w14:paraId="0729DB57" w14:textId="77777777" w:rsidR="0073283D" w:rsidRPr="0073283D" w:rsidRDefault="0073283D">
                      <w:pPr>
                        <w:rPr>
                          <w:lang w:val="en-US"/>
                        </w:rPr>
                      </w:pPr>
                    </w:p>
                  </w:txbxContent>
                </v:textbox>
              </v:shape>
            </w:pict>
          </mc:Fallback>
        </mc:AlternateContent>
      </w:r>
      <w:r>
        <w:rPr>
          <w:noProof/>
          <w:lang w:eastAsia="es-MX"/>
        </w:rPr>
        <w:drawing>
          <wp:inline distT="0" distB="0" distL="0" distR="0" wp14:anchorId="1048EF30" wp14:editId="590CCF5D">
            <wp:extent cx="5486400" cy="3200400"/>
            <wp:effectExtent l="0" t="0" r="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14:paraId="30D1F9C3" w14:textId="77777777" w:rsidR="00FC3AF3" w:rsidRDefault="00FC3AF3" w:rsidP="00FC3AF3">
      <w:pPr>
        <w:pStyle w:val="Ttulo2"/>
      </w:pPr>
      <w:r>
        <w:t>5.1 Planeación del Simulacro de Emergencia</w:t>
      </w:r>
    </w:p>
    <w:p w14:paraId="02677194" w14:textId="77777777" w:rsidR="001D7A23" w:rsidRDefault="001D7A23" w:rsidP="00DE3F7E"/>
    <w:p w14:paraId="557CF608" w14:textId="60A7C9A7" w:rsidR="00084881" w:rsidRDefault="0073283D" w:rsidP="00DE3F7E">
      <w:r>
        <w:t>En ambos casos, deberá realizarse la Planeación de</w:t>
      </w:r>
      <w:r w:rsidR="00FC3AF3">
        <w:t>l</w:t>
      </w:r>
      <w:r>
        <w:t xml:space="preserve"> Simulacro de Emergencia, </w:t>
      </w:r>
      <w:r w:rsidR="00084881">
        <w:t xml:space="preserve">y </w:t>
      </w:r>
      <w:r w:rsidR="00FC3AF3">
        <w:t>para constar por escrito se utilizará como</w:t>
      </w:r>
      <w:r>
        <w:t xml:space="preserve"> apoyo el formato: </w:t>
      </w:r>
      <w:r w:rsidRPr="0073283D">
        <w:rPr>
          <w:b/>
        </w:rPr>
        <w:t>Planeación del Simulacro de Emergencia.</w:t>
      </w:r>
      <w:r w:rsidR="00FC3AF3">
        <w:rPr>
          <w:b/>
        </w:rPr>
        <w:t xml:space="preserve"> </w:t>
      </w:r>
      <w:r w:rsidR="00FC3AF3" w:rsidRPr="00FC3AF3">
        <w:t>Dicho formato involucra los siguientes puntos</w:t>
      </w:r>
      <w:r w:rsidR="00FC3AF3">
        <w:t>:</w:t>
      </w:r>
    </w:p>
    <w:p w14:paraId="35F784C0" w14:textId="77777777" w:rsidR="00FC3AF3" w:rsidRDefault="00FC3AF3" w:rsidP="008733C9">
      <w:pPr>
        <w:pStyle w:val="Prrafodelista"/>
        <w:numPr>
          <w:ilvl w:val="0"/>
          <w:numId w:val="5"/>
        </w:numPr>
      </w:pPr>
      <w:r w:rsidRPr="00FC3AF3">
        <w:t>Los nombres de los encargados de coordinar el simulacro y de establecer las medidas de segurida</w:t>
      </w:r>
      <w:r>
        <w:t>d por adoptar durante el mismo.</w:t>
      </w:r>
    </w:p>
    <w:p w14:paraId="73AC7D2F" w14:textId="77777777" w:rsidR="00FC3AF3" w:rsidRDefault="00FC3AF3" w:rsidP="00130F2D">
      <w:pPr>
        <w:pStyle w:val="Prrafodelista"/>
        <w:numPr>
          <w:ilvl w:val="0"/>
          <w:numId w:val="5"/>
        </w:numPr>
      </w:pPr>
      <w:r>
        <w:t>La fecha y hora de ejecución</w:t>
      </w:r>
    </w:p>
    <w:p w14:paraId="3B4B6032" w14:textId="77777777" w:rsidR="00FC3AF3" w:rsidRDefault="00FC3AF3" w:rsidP="0072444C">
      <w:pPr>
        <w:pStyle w:val="Prrafodelista"/>
        <w:numPr>
          <w:ilvl w:val="0"/>
          <w:numId w:val="5"/>
        </w:numPr>
      </w:pPr>
      <w:r w:rsidRPr="00FC3AF3">
        <w:t>El alcance del simulacro: integral o por áreas del centro de trabajo, con o sin previo aviso, per</w:t>
      </w:r>
      <w:r>
        <w:t>sonal involucrado, entre otros.</w:t>
      </w:r>
    </w:p>
    <w:p w14:paraId="55B63C33" w14:textId="77777777" w:rsidR="00FC3AF3" w:rsidRDefault="00FC3AF3" w:rsidP="00A8738C">
      <w:pPr>
        <w:pStyle w:val="Prrafodelista"/>
        <w:numPr>
          <w:ilvl w:val="0"/>
          <w:numId w:val="5"/>
        </w:numPr>
      </w:pPr>
      <w:r w:rsidRPr="00FC3AF3">
        <w:t>La determinación del tipo de escenarios de emergencia más críticos que se pudieran presentar, tomando en cuenta principalmente el tipo y cantidad de materiales inflamables, las características, el riesgo de incendio y la naturaleza de las áreas del centro de trabajo, así como las funciones y actividades que rea</w:t>
      </w:r>
      <w:r>
        <w:t>lizará el personal involucrado.</w:t>
      </w:r>
    </w:p>
    <w:p w14:paraId="4B3048CB" w14:textId="77777777" w:rsidR="00FC3AF3" w:rsidRDefault="00FC3AF3" w:rsidP="00092ABA">
      <w:pPr>
        <w:pStyle w:val="Prrafodelista"/>
        <w:numPr>
          <w:ilvl w:val="0"/>
          <w:numId w:val="5"/>
        </w:numPr>
      </w:pPr>
      <w:r w:rsidRPr="00FC3AF3">
        <w:t>La secuencia de acciones por r</w:t>
      </w:r>
      <w:r>
        <w:t>ealizar durante el simulacro.</w:t>
      </w:r>
    </w:p>
    <w:p w14:paraId="16656C8A" w14:textId="77777777" w:rsidR="00FC3AF3" w:rsidRDefault="00FC3AF3" w:rsidP="00092ABA">
      <w:pPr>
        <w:pStyle w:val="Prrafodelista"/>
        <w:numPr>
          <w:ilvl w:val="0"/>
          <w:numId w:val="5"/>
        </w:numPr>
      </w:pPr>
      <w:r w:rsidRPr="00FC3AF3">
        <w:t>En su caso, la participación de los cuerpos especializados de la localidad para la atención a la emergencia, de existir éstos, y si así lo prevé el tipo de escenario de emergencia planeado.</w:t>
      </w:r>
    </w:p>
    <w:p w14:paraId="4C01A6F9" w14:textId="77777777" w:rsidR="00FC3AF3" w:rsidRDefault="00FC3AF3" w:rsidP="00FC3AF3">
      <w:r>
        <w:t>Por ello, es obligatorio el llenado completo del formato mencionado.</w:t>
      </w:r>
    </w:p>
    <w:p w14:paraId="766F8B2D" w14:textId="77777777" w:rsidR="00084881" w:rsidRDefault="00084881" w:rsidP="00FC3AF3"/>
    <w:p w14:paraId="303B2CB1" w14:textId="77777777" w:rsidR="00FC3AF3" w:rsidRDefault="00FC3AF3" w:rsidP="00FC3AF3">
      <w:pPr>
        <w:pStyle w:val="Ttulo2"/>
        <w:numPr>
          <w:ilvl w:val="1"/>
          <w:numId w:val="2"/>
        </w:numPr>
      </w:pPr>
      <w:r>
        <w:t>Resultados del Simulacro de Emergencia</w:t>
      </w:r>
    </w:p>
    <w:p w14:paraId="692E5924" w14:textId="77777777" w:rsidR="001D7A23" w:rsidRDefault="001D7A23" w:rsidP="004B4E13"/>
    <w:p w14:paraId="321EA7ED" w14:textId="5F6D79E6" w:rsidR="004B4E13" w:rsidRDefault="00FC3AF3" w:rsidP="004B4E13">
      <w:r>
        <w:t xml:space="preserve">Debe constarse de forma escrita los resultados obtenidos a partir del Simulacro de Emergencia Realizado, para esto se utiliza el formato: </w:t>
      </w:r>
      <w:r w:rsidRPr="00FC3AF3">
        <w:rPr>
          <w:b/>
        </w:rPr>
        <w:t>Resultados del Simulacro de Emergencia</w:t>
      </w:r>
      <w:r w:rsidR="00084881">
        <w:t>, e</w:t>
      </w:r>
      <w:r>
        <w:t>l cual toma en cuenta los siguientes puntos que deben ser llenados en su totalidad:</w:t>
      </w:r>
    </w:p>
    <w:p w14:paraId="5D1CED83" w14:textId="77777777" w:rsidR="004B4E13" w:rsidRDefault="004B4E13" w:rsidP="00277687">
      <w:pPr>
        <w:pStyle w:val="Prrafodelista"/>
        <w:numPr>
          <w:ilvl w:val="0"/>
          <w:numId w:val="8"/>
        </w:numPr>
      </w:pPr>
      <w:bookmarkStart w:id="0" w:name="_Hlk486415888"/>
      <w:r w:rsidRPr="004B4E13">
        <w:t>El nombre, denominación o razón social del centro de trabajo donde se desarrolló el simulacro, incluyendo el domici</w:t>
      </w:r>
      <w:r>
        <w:t>lio completo</w:t>
      </w:r>
    </w:p>
    <w:p w14:paraId="39D0A031" w14:textId="77777777" w:rsidR="004B4E13" w:rsidRDefault="004B4E13" w:rsidP="00186EEA">
      <w:pPr>
        <w:pStyle w:val="Prrafodelista"/>
        <w:numPr>
          <w:ilvl w:val="0"/>
          <w:numId w:val="8"/>
        </w:numPr>
      </w:pPr>
      <w:r w:rsidRPr="004B4E13">
        <w:t>Las áreas del centro de trabajo en l</w:t>
      </w:r>
      <w:r>
        <w:t>as que se realizó el simulacro, (si fue integral o por áreas como se constató en la Planeación del Simulacro).</w:t>
      </w:r>
    </w:p>
    <w:p w14:paraId="139E5D55" w14:textId="77777777" w:rsidR="004B4E13" w:rsidRDefault="004B4E13" w:rsidP="00BD7331">
      <w:pPr>
        <w:pStyle w:val="Prrafodelista"/>
        <w:numPr>
          <w:ilvl w:val="0"/>
          <w:numId w:val="8"/>
        </w:numPr>
      </w:pPr>
      <w:r w:rsidRPr="004B4E13">
        <w:t>El número</w:t>
      </w:r>
      <w:r>
        <w:t xml:space="preserve"> de personas que intervinieron: Colaboradores, Contratistas o Proveedores y Clientes</w:t>
      </w:r>
      <w:r w:rsidR="00254531">
        <w:t xml:space="preserve"> o Visitantes</w:t>
      </w:r>
      <w:r>
        <w:t xml:space="preserve"> presentes durante el evento.</w:t>
      </w:r>
    </w:p>
    <w:p w14:paraId="3D6F3E13" w14:textId="77777777" w:rsidR="004B4E13" w:rsidRDefault="004B4E13" w:rsidP="00BB72B6">
      <w:pPr>
        <w:pStyle w:val="Prrafodelista"/>
        <w:numPr>
          <w:ilvl w:val="0"/>
          <w:numId w:val="8"/>
        </w:numPr>
      </w:pPr>
      <w:r w:rsidRPr="004B4E13">
        <w:t>Los recursos u</w:t>
      </w:r>
      <w:r>
        <w:t>tilizados durante el simulacro: Megáfono, equipo de sonido, silbatos, radios, etc.</w:t>
      </w:r>
    </w:p>
    <w:p w14:paraId="6FAD4195" w14:textId="77777777" w:rsidR="004B4E13" w:rsidRDefault="004B4E13" w:rsidP="001D2C5C">
      <w:pPr>
        <w:pStyle w:val="Prrafodelista"/>
        <w:numPr>
          <w:ilvl w:val="0"/>
          <w:numId w:val="8"/>
        </w:numPr>
      </w:pPr>
      <w:r>
        <w:t>L</w:t>
      </w:r>
      <w:r w:rsidRPr="004B4E13">
        <w:t>a detección de desviaci</w:t>
      </w:r>
      <w:r>
        <w:t>ones en las acciones planeadas: ¿Qué salió mal o fuera de lo comentado durante la Planeación del Simulacro?</w:t>
      </w:r>
    </w:p>
    <w:p w14:paraId="64B9D36F" w14:textId="77777777" w:rsidR="006412A6" w:rsidRDefault="004B4E13" w:rsidP="003B55B4">
      <w:pPr>
        <w:pStyle w:val="Prrafodelista"/>
        <w:numPr>
          <w:ilvl w:val="0"/>
          <w:numId w:val="8"/>
        </w:numPr>
      </w:pPr>
      <w:r w:rsidRPr="004B4E13">
        <w:t>Las recomendaciones</w:t>
      </w:r>
      <w:r w:rsidR="006412A6">
        <w:t xml:space="preserve"> para actualizar el Programa Interno de Protección Civil (Plan de Atención a Emergencias).</w:t>
      </w:r>
    </w:p>
    <w:p w14:paraId="47F12F27" w14:textId="77777777" w:rsidR="006412A6" w:rsidRDefault="006412A6" w:rsidP="004B4E13">
      <w:pPr>
        <w:pStyle w:val="Prrafodelista"/>
        <w:numPr>
          <w:ilvl w:val="0"/>
          <w:numId w:val="8"/>
        </w:numPr>
      </w:pPr>
      <w:r>
        <w:t>La duración del simulacro: Desde el momento que suena la alarma, hasta que la última persona llega al punto de reunión. En caso de que aplique, el tiempo de respuesta de los cuerpos de emergencia.</w:t>
      </w:r>
    </w:p>
    <w:p w14:paraId="0AAABF3E" w14:textId="77777777" w:rsidR="00FC3AF3" w:rsidRDefault="004B4E13" w:rsidP="004B4E13">
      <w:pPr>
        <w:pStyle w:val="Prrafodelista"/>
        <w:numPr>
          <w:ilvl w:val="0"/>
          <w:numId w:val="8"/>
        </w:numPr>
      </w:pPr>
      <w:r w:rsidRPr="004B4E13">
        <w:t>Los nombres de los encargados de</w:t>
      </w:r>
      <w:r w:rsidR="006412A6">
        <w:t xml:space="preserve"> la coordinación.</w:t>
      </w:r>
    </w:p>
    <w:bookmarkEnd w:id="0"/>
    <w:p w14:paraId="5377595B" w14:textId="77777777" w:rsidR="006412A6" w:rsidRDefault="006412A6" w:rsidP="006412A6"/>
    <w:p w14:paraId="24ABDBDD" w14:textId="77777777" w:rsidR="006412A6" w:rsidRDefault="00337CA2" w:rsidP="006412A6">
      <w:pPr>
        <w:pStyle w:val="Ttulo1"/>
        <w:numPr>
          <w:ilvl w:val="0"/>
          <w:numId w:val="2"/>
        </w:numPr>
      </w:pPr>
      <w:r>
        <w:t>REFERENCIAS</w:t>
      </w:r>
    </w:p>
    <w:p w14:paraId="701E8506" w14:textId="77777777" w:rsidR="001D7A23" w:rsidRDefault="001D7A23" w:rsidP="006412A6"/>
    <w:p w14:paraId="5DE22BEB" w14:textId="77777777" w:rsidR="00337CA2" w:rsidRDefault="00337CA2" w:rsidP="006412A6">
      <w:r>
        <w:t>Reglamento Federal de Seguridad y Salud en el Trabajo</w:t>
      </w:r>
    </w:p>
    <w:p w14:paraId="48BBB036" w14:textId="77777777" w:rsidR="006412A6" w:rsidRDefault="006412A6" w:rsidP="006412A6">
      <w:r w:rsidRPr="006412A6">
        <w:t>NOM-002-STPS-2010, Condiciones de seguridad-Prevención y protección contra incendios en los centros de trabajo.</w:t>
      </w:r>
    </w:p>
    <w:p w14:paraId="6363D94A" w14:textId="77777777" w:rsidR="001D7A23" w:rsidRDefault="001D7A23" w:rsidP="006412A6"/>
    <w:p w14:paraId="0893C547" w14:textId="77777777" w:rsidR="00337CA2" w:rsidRDefault="00337CA2" w:rsidP="00337CA2">
      <w:pPr>
        <w:pStyle w:val="Ttulo1"/>
        <w:numPr>
          <w:ilvl w:val="0"/>
          <w:numId w:val="2"/>
        </w:numPr>
      </w:pPr>
      <w:r>
        <w:t>FORMATOS ASOCIADOS</w:t>
      </w:r>
    </w:p>
    <w:p w14:paraId="2803DCA8" w14:textId="77777777" w:rsidR="001D7A23" w:rsidRPr="001D7A23" w:rsidRDefault="001D7A23" w:rsidP="001D7A23"/>
    <w:p w14:paraId="3734E4C9" w14:textId="05EA4C64" w:rsidR="00337CA2" w:rsidRDefault="00337CA2" w:rsidP="006412A6">
      <w:r>
        <w:t>Planeación del Simulacro de Emergencia</w:t>
      </w:r>
    </w:p>
    <w:p w14:paraId="0339BF00" w14:textId="08815805" w:rsidR="007A7453" w:rsidRDefault="00337CA2" w:rsidP="006412A6">
      <w:r>
        <w:t>Resultados del Simulacro de Emergencia</w:t>
      </w:r>
    </w:p>
    <w:p w14:paraId="59611D85" w14:textId="77777777" w:rsidR="007E29CA" w:rsidRDefault="007E29CA" w:rsidP="006412A6"/>
    <w:p w14:paraId="7DB64BD6" w14:textId="77777777" w:rsidR="00FA5755" w:rsidRDefault="00FA5755" w:rsidP="006412A6"/>
    <w:p w14:paraId="55883D63" w14:textId="77777777" w:rsidR="00FE1D95" w:rsidRPr="00084881" w:rsidRDefault="00FE1D95" w:rsidP="007A7453"/>
    <w:sectPr w:rsidR="00FE1D95" w:rsidRPr="00084881">
      <w:headerReference w:type="default" r:id="rId15"/>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54FE5A" w14:textId="77777777" w:rsidR="00B709B0" w:rsidRDefault="00B709B0" w:rsidP="00F44A08">
      <w:pPr>
        <w:spacing w:after="0" w:line="240" w:lineRule="auto"/>
      </w:pPr>
      <w:r>
        <w:separator/>
      </w:r>
    </w:p>
  </w:endnote>
  <w:endnote w:type="continuationSeparator" w:id="0">
    <w:p w14:paraId="46C9F2B5" w14:textId="77777777" w:rsidR="00B709B0" w:rsidRDefault="00B709B0" w:rsidP="00F44A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D6E44C" w14:textId="77777777" w:rsidR="00B709B0" w:rsidRDefault="00B709B0" w:rsidP="00F44A08">
      <w:pPr>
        <w:spacing w:after="0" w:line="240" w:lineRule="auto"/>
      </w:pPr>
      <w:r>
        <w:separator/>
      </w:r>
    </w:p>
  </w:footnote>
  <w:footnote w:type="continuationSeparator" w:id="0">
    <w:p w14:paraId="11E1599B" w14:textId="77777777" w:rsidR="00B709B0" w:rsidRDefault="00B709B0" w:rsidP="00F44A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88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724"/>
      <w:gridCol w:w="3138"/>
    </w:tblGrid>
    <w:tr w:rsidR="002F43ED" w14:paraId="0A933DB3" w14:textId="77777777" w:rsidTr="002F43ED">
      <w:trPr>
        <w:cantSplit/>
        <w:trHeight w:val="448"/>
      </w:trPr>
      <w:tc>
        <w:tcPr>
          <w:tcW w:w="5724" w:type="dxa"/>
          <w:vMerge w:val="restart"/>
          <w:vAlign w:val="center"/>
        </w:tcPr>
        <w:p w14:paraId="62C6821A" w14:textId="77777777" w:rsidR="002F43ED" w:rsidRPr="00E53B51" w:rsidRDefault="002F43ED" w:rsidP="008020DA">
          <w:pPr>
            <w:pStyle w:val="Encabezado"/>
            <w:jc w:val="center"/>
            <w:rPr>
              <w:rFonts w:cs="Arial"/>
              <w:b/>
              <w:bCs/>
              <w:sz w:val="24"/>
              <w:szCs w:val="24"/>
              <w:lang w:val="es-ES_tradnl"/>
            </w:rPr>
          </w:pPr>
          <w:r>
            <w:rPr>
              <w:rFonts w:cs="Arial"/>
              <w:b/>
              <w:bCs/>
              <w:sz w:val="24"/>
              <w:szCs w:val="24"/>
              <w:lang w:val="es-ES_tradnl"/>
            </w:rPr>
            <w:t>Programa para la Realización de Simulacros de Emergencia</w:t>
          </w:r>
        </w:p>
      </w:tc>
      <w:tc>
        <w:tcPr>
          <w:tcW w:w="3138" w:type="dxa"/>
          <w:vAlign w:val="center"/>
        </w:tcPr>
        <w:p w14:paraId="747A1562" w14:textId="29459857" w:rsidR="002F43ED" w:rsidRPr="0095471E" w:rsidRDefault="002F43ED" w:rsidP="008020DA">
          <w:pPr>
            <w:pStyle w:val="Encabezado"/>
            <w:jc w:val="center"/>
            <w:rPr>
              <w:rFonts w:cs="Arial"/>
              <w:b/>
            </w:rPr>
          </w:pPr>
          <w:r>
            <w:rPr>
              <w:rFonts w:cs="Arial"/>
              <w:b/>
              <w:lang w:eastAsia="es-MX"/>
            </w:rPr>
            <w:t>P04 Rev. 0</w:t>
          </w:r>
          <w:r w:rsidR="0061372F">
            <w:rPr>
              <w:rFonts w:cs="Arial"/>
              <w:b/>
              <w:lang w:eastAsia="es-MX"/>
            </w:rPr>
            <w:t>0</w:t>
          </w:r>
        </w:p>
      </w:tc>
    </w:tr>
    <w:tr w:rsidR="002F43ED" w14:paraId="3EA5A1C9" w14:textId="77777777" w:rsidTr="002F43ED">
      <w:tblPrEx>
        <w:tblCellMar>
          <w:left w:w="108" w:type="dxa"/>
          <w:right w:w="108" w:type="dxa"/>
        </w:tblCellMar>
      </w:tblPrEx>
      <w:trPr>
        <w:cantSplit/>
        <w:trHeight w:val="106"/>
      </w:trPr>
      <w:tc>
        <w:tcPr>
          <w:tcW w:w="5724" w:type="dxa"/>
          <w:vMerge/>
          <w:vAlign w:val="center"/>
        </w:tcPr>
        <w:p w14:paraId="5DB59A7F" w14:textId="77777777" w:rsidR="002F43ED" w:rsidRDefault="002F43ED" w:rsidP="008020DA">
          <w:pPr>
            <w:pStyle w:val="Encabezado"/>
            <w:jc w:val="center"/>
            <w:rPr>
              <w:rFonts w:cs="Arial"/>
              <w:lang w:val="es-ES_tradnl"/>
            </w:rPr>
          </w:pPr>
        </w:p>
      </w:tc>
      <w:tc>
        <w:tcPr>
          <w:tcW w:w="3138" w:type="dxa"/>
        </w:tcPr>
        <w:p w14:paraId="1AF4DBEC" w14:textId="77777777" w:rsidR="002F43ED" w:rsidRDefault="002F43ED" w:rsidP="008020DA">
          <w:pPr>
            <w:pStyle w:val="Encabezado"/>
            <w:jc w:val="center"/>
            <w:rPr>
              <w:rFonts w:cs="Arial"/>
              <w:lang w:val="es-ES_tradnl"/>
            </w:rPr>
          </w:pPr>
          <w:r>
            <w:rPr>
              <w:rFonts w:cs="Arial"/>
            </w:rPr>
            <w:t>Página</w:t>
          </w:r>
          <w:r w:rsidRPr="006C12F6">
            <w:rPr>
              <w:rFonts w:cs="Arial"/>
              <w:lang w:val="es-ES_tradnl"/>
            </w:rPr>
            <w:t xml:space="preserve"> </w:t>
          </w:r>
          <w:r w:rsidRPr="006C12F6">
            <w:rPr>
              <w:rFonts w:cs="Arial"/>
              <w:b/>
              <w:bCs/>
              <w:lang w:val="es-ES_tradnl"/>
            </w:rPr>
            <w:fldChar w:fldCharType="begin"/>
          </w:r>
          <w:r w:rsidRPr="006C12F6">
            <w:rPr>
              <w:rFonts w:cs="Arial"/>
              <w:b/>
              <w:bCs/>
              <w:lang w:val="es-ES_tradnl"/>
            </w:rPr>
            <w:instrText xml:space="preserve"> PAGE  \* Arabic  \* MERGEFORMAT </w:instrText>
          </w:r>
          <w:r w:rsidRPr="006C12F6">
            <w:rPr>
              <w:rFonts w:cs="Arial"/>
              <w:b/>
              <w:bCs/>
              <w:lang w:val="es-ES_tradnl"/>
            </w:rPr>
            <w:fldChar w:fldCharType="separate"/>
          </w:r>
          <w:r>
            <w:rPr>
              <w:rFonts w:cs="Arial"/>
              <w:b/>
              <w:bCs/>
              <w:noProof/>
              <w:lang w:val="es-ES_tradnl"/>
            </w:rPr>
            <w:t>3</w:t>
          </w:r>
          <w:r w:rsidRPr="006C12F6">
            <w:rPr>
              <w:rFonts w:cs="Arial"/>
              <w:b/>
              <w:bCs/>
              <w:lang w:val="es-ES_tradnl"/>
            </w:rPr>
            <w:fldChar w:fldCharType="end"/>
          </w:r>
          <w:r>
            <w:rPr>
              <w:rFonts w:cs="Arial"/>
              <w:lang w:val="es-ES_tradnl"/>
            </w:rPr>
            <w:t xml:space="preserve"> de</w:t>
          </w:r>
          <w:r w:rsidRPr="006C12F6">
            <w:rPr>
              <w:rFonts w:cs="Arial"/>
              <w:lang w:val="es-ES_tradnl"/>
            </w:rPr>
            <w:t xml:space="preserve"> </w:t>
          </w:r>
          <w:r w:rsidRPr="006C12F6">
            <w:rPr>
              <w:rFonts w:cs="Arial"/>
              <w:b/>
              <w:bCs/>
              <w:lang w:val="es-ES_tradnl"/>
            </w:rPr>
            <w:fldChar w:fldCharType="begin"/>
          </w:r>
          <w:r w:rsidRPr="006C12F6">
            <w:rPr>
              <w:rFonts w:cs="Arial"/>
              <w:b/>
              <w:bCs/>
              <w:lang w:val="es-ES_tradnl"/>
            </w:rPr>
            <w:instrText xml:space="preserve"> NUMPAGES  \* Arabic  \* MERGEFORMAT </w:instrText>
          </w:r>
          <w:r w:rsidRPr="006C12F6">
            <w:rPr>
              <w:rFonts w:cs="Arial"/>
              <w:b/>
              <w:bCs/>
              <w:lang w:val="es-ES_tradnl"/>
            </w:rPr>
            <w:fldChar w:fldCharType="separate"/>
          </w:r>
          <w:r>
            <w:rPr>
              <w:rFonts w:cs="Arial"/>
              <w:b/>
              <w:bCs/>
              <w:noProof/>
              <w:lang w:val="es-ES_tradnl"/>
            </w:rPr>
            <w:t>3</w:t>
          </w:r>
          <w:r w:rsidRPr="006C12F6">
            <w:rPr>
              <w:rFonts w:cs="Arial"/>
              <w:b/>
              <w:bCs/>
              <w:lang w:val="es-ES_tradnl"/>
            </w:rPr>
            <w:fldChar w:fldCharType="end"/>
          </w:r>
        </w:p>
      </w:tc>
    </w:tr>
  </w:tbl>
  <w:p w14:paraId="733C6692" w14:textId="77777777" w:rsidR="00F44A08" w:rsidRDefault="00F44A0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84A9E"/>
    <w:multiLevelType w:val="hybridMultilevel"/>
    <w:tmpl w:val="C6762E3A"/>
    <w:lvl w:ilvl="0" w:tplc="ECB45C72">
      <w:start w:val="1"/>
      <w:numFmt w:val="bullet"/>
      <w:lvlText w:val="•"/>
      <w:lvlJc w:val="left"/>
      <w:pPr>
        <w:tabs>
          <w:tab w:val="num" w:pos="720"/>
        </w:tabs>
        <w:ind w:left="720" w:hanging="360"/>
      </w:pPr>
      <w:rPr>
        <w:rFonts w:ascii="Times New Roman" w:hAnsi="Times New Roman" w:hint="default"/>
      </w:rPr>
    </w:lvl>
    <w:lvl w:ilvl="1" w:tplc="0930B31A" w:tentative="1">
      <w:start w:val="1"/>
      <w:numFmt w:val="bullet"/>
      <w:lvlText w:val="•"/>
      <w:lvlJc w:val="left"/>
      <w:pPr>
        <w:tabs>
          <w:tab w:val="num" w:pos="1440"/>
        </w:tabs>
        <w:ind w:left="1440" w:hanging="360"/>
      </w:pPr>
      <w:rPr>
        <w:rFonts w:ascii="Times New Roman" w:hAnsi="Times New Roman" w:hint="default"/>
      </w:rPr>
    </w:lvl>
    <w:lvl w:ilvl="2" w:tplc="7B8C11CC" w:tentative="1">
      <w:start w:val="1"/>
      <w:numFmt w:val="bullet"/>
      <w:lvlText w:val="•"/>
      <w:lvlJc w:val="left"/>
      <w:pPr>
        <w:tabs>
          <w:tab w:val="num" w:pos="2160"/>
        </w:tabs>
        <w:ind w:left="2160" w:hanging="360"/>
      </w:pPr>
      <w:rPr>
        <w:rFonts w:ascii="Times New Roman" w:hAnsi="Times New Roman" w:hint="default"/>
      </w:rPr>
    </w:lvl>
    <w:lvl w:ilvl="3" w:tplc="3E547696" w:tentative="1">
      <w:start w:val="1"/>
      <w:numFmt w:val="bullet"/>
      <w:lvlText w:val="•"/>
      <w:lvlJc w:val="left"/>
      <w:pPr>
        <w:tabs>
          <w:tab w:val="num" w:pos="2880"/>
        </w:tabs>
        <w:ind w:left="2880" w:hanging="360"/>
      </w:pPr>
      <w:rPr>
        <w:rFonts w:ascii="Times New Roman" w:hAnsi="Times New Roman" w:hint="default"/>
      </w:rPr>
    </w:lvl>
    <w:lvl w:ilvl="4" w:tplc="D88069F8" w:tentative="1">
      <w:start w:val="1"/>
      <w:numFmt w:val="bullet"/>
      <w:lvlText w:val="•"/>
      <w:lvlJc w:val="left"/>
      <w:pPr>
        <w:tabs>
          <w:tab w:val="num" w:pos="3600"/>
        </w:tabs>
        <w:ind w:left="3600" w:hanging="360"/>
      </w:pPr>
      <w:rPr>
        <w:rFonts w:ascii="Times New Roman" w:hAnsi="Times New Roman" w:hint="default"/>
      </w:rPr>
    </w:lvl>
    <w:lvl w:ilvl="5" w:tplc="D33648F6" w:tentative="1">
      <w:start w:val="1"/>
      <w:numFmt w:val="bullet"/>
      <w:lvlText w:val="•"/>
      <w:lvlJc w:val="left"/>
      <w:pPr>
        <w:tabs>
          <w:tab w:val="num" w:pos="4320"/>
        </w:tabs>
        <w:ind w:left="4320" w:hanging="360"/>
      </w:pPr>
      <w:rPr>
        <w:rFonts w:ascii="Times New Roman" w:hAnsi="Times New Roman" w:hint="default"/>
      </w:rPr>
    </w:lvl>
    <w:lvl w:ilvl="6" w:tplc="82B27AF8" w:tentative="1">
      <w:start w:val="1"/>
      <w:numFmt w:val="bullet"/>
      <w:lvlText w:val="•"/>
      <w:lvlJc w:val="left"/>
      <w:pPr>
        <w:tabs>
          <w:tab w:val="num" w:pos="5040"/>
        </w:tabs>
        <w:ind w:left="5040" w:hanging="360"/>
      </w:pPr>
      <w:rPr>
        <w:rFonts w:ascii="Times New Roman" w:hAnsi="Times New Roman" w:hint="default"/>
      </w:rPr>
    </w:lvl>
    <w:lvl w:ilvl="7" w:tplc="195410E6" w:tentative="1">
      <w:start w:val="1"/>
      <w:numFmt w:val="bullet"/>
      <w:lvlText w:val="•"/>
      <w:lvlJc w:val="left"/>
      <w:pPr>
        <w:tabs>
          <w:tab w:val="num" w:pos="5760"/>
        </w:tabs>
        <w:ind w:left="5760" w:hanging="360"/>
      </w:pPr>
      <w:rPr>
        <w:rFonts w:ascii="Times New Roman" w:hAnsi="Times New Roman" w:hint="default"/>
      </w:rPr>
    </w:lvl>
    <w:lvl w:ilvl="8" w:tplc="8BDA9598"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11911697"/>
    <w:multiLevelType w:val="multilevel"/>
    <w:tmpl w:val="C770CA74"/>
    <w:lvl w:ilvl="0">
      <w:start w:val="1"/>
      <w:numFmt w:val="decimal"/>
      <w:lvlText w:val="%1."/>
      <w:lvlJc w:val="left"/>
      <w:pPr>
        <w:ind w:left="1080" w:hanging="36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2" w15:restartNumberingAfterBreak="0">
    <w:nsid w:val="27174B1C"/>
    <w:multiLevelType w:val="hybridMultilevel"/>
    <w:tmpl w:val="B226F94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53730B1"/>
    <w:multiLevelType w:val="hybridMultilevel"/>
    <w:tmpl w:val="69D2046E"/>
    <w:lvl w:ilvl="0" w:tplc="27EE2832">
      <w:start w:val="1"/>
      <w:numFmt w:val="bullet"/>
      <w:lvlText w:val="•"/>
      <w:lvlJc w:val="left"/>
      <w:pPr>
        <w:tabs>
          <w:tab w:val="num" w:pos="720"/>
        </w:tabs>
        <w:ind w:left="720" w:hanging="360"/>
      </w:pPr>
      <w:rPr>
        <w:rFonts w:ascii="Times New Roman" w:hAnsi="Times New Roman" w:hint="default"/>
      </w:rPr>
    </w:lvl>
    <w:lvl w:ilvl="1" w:tplc="5F3CF1D4" w:tentative="1">
      <w:start w:val="1"/>
      <w:numFmt w:val="bullet"/>
      <w:lvlText w:val="•"/>
      <w:lvlJc w:val="left"/>
      <w:pPr>
        <w:tabs>
          <w:tab w:val="num" w:pos="1440"/>
        </w:tabs>
        <w:ind w:left="1440" w:hanging="360"/>
      </w:pPr>
      <w:rPr>
        <w:rFonts w:ascii="Times New Roman" w:hAnsi="Times New Roman" w:hint="default"/>
      </w:rPr>
    </w:lvl>
    <w:lvl w:ilvl="2" w:tplc="DD0C99AE" w:tentative="1">
      <w:start w:val="1"/>
      <w:numFmt w:val="bullet"/>
      <w:lvlText w:val="•"/>
      <w:lvlJc w:val="left"/>
      <w:pPr>
        <w:tabs>
          <w:tab w:val="num" w:pos="2160"/>
        </w:tabs>
        <w:ind w:left="2160" w:hanging="360"/>
      </w:pPr>
      <w:rPr>
        <w:rFonts w:ascii="Times New Roman" w:hAnsi="Times New Roman" w:hint="default"/>
      </w:rPr>
    </w:lvl>
    <w:lvl w:ilvl="3" w:tplc="12C45A3A" w:tentative="1">
      <w:start w:val="1"/>
      <w:numFmt w:val="bullet"/>
      <w:lvlText w:val="•"/>
      <w:lvlJc w:val="left"/>
      <w:pPr>
        <w:tabs>
          <w:tab w:val="num" w:pos="2880"/>
        </w:tabs>
        <w:ind w:left="2880" w:hanging="360"/>
      </w:pPr>
      <w:rPr>
        <w:rFonts w:ascii="Times New Roman" w:hAnsi="Times New Roman" w:hint="default"/>
      </w:rPr>
    </w:lvl>
    <w:lvl w:ilvl="4" w:tplc="BC0E0DFC" w:tentative="1">
      <w:start w:val="1"/>
      <w:numFmt w:val="bullet"/>
      <w:lvlText w:val="•"/>
      <w:lvlJc w:val="left"/>
      <w:pPr>
        <w:tabs>
          <w:tab w:val="num" w:pos="3600"/>
        </w:tabs>
        <w:ind w:left="3600" w:hanging="360"/>
      </w:pPr>
      <w:rPr>
        <w:rFonts w:ascii="Times New Roman" w:hAnsi="Times New Roman" w:hint="default"/>
      </w:rPr>
    </w:lvl>
    <w:lvl w:ilvl="5" w:tplc="E93664A8" w:tentative="1">
      <w:start w:val="1"/>
      <w:numFmt w:val="bullet"/>
      <w:lvlText w:val="•"/>
      <w:lvlJc w:val="left"/>
      <w:pPr>
        <w:tabs>
          <w:tab w:val="num" w:pos="4320"/>
        </w:tabs>
        <w:ind w:left="4320" w:hanging="360"/>
      </w:pPr>
      <w:rPr>
        <w:rFonts w:ascii="Times New Roman" w:hAnsi="Times New Roman" w:hint="default"/>
      </w:rPr>
    </w:lvl>
    <w:lvl w:ilvl="6" w:tplc="ECB68DF0" w:tentative="1">
      <w:start w:val="1"/>
      <w:numFmt w:val="bullet"/>
      <w:lvlText w:val="•"/>
      <w:lvlJc w:val="left"/>
      <w:pPr>
        <w:tabs>
          <w:tab w:val="num" w:pos="5040"/>
        </w:tabs>
        <w:ind w:left="5040" w:hanging="360"/>
      </w:pPr>
      <w:rPr>
        <w:rFonts w:ascii="Times New Roman" w:hAnsi="Times New Roman" w:hint="default"/>
      </w:rPr>
    </w:lvl>
    <w:lvl w:ilvl="7" w:tplc="CAAEED3E" w:tentative="1">
      <w:start w:val="1"/>
      <w:numFmt w:val="bullet"/>
      <w:lvlText w:val="•"/>
      <w:lvlJc w:val="left"/>
      <w:pPr>
        <w:tabs>
          <w:tab w:val="num" w:pos="5760"/>
        </w:tabs>
        <w:ind w:left="5760" w:hanging="360"/>
      </w:pPr>
      <w:rPr>
        <w:rFonts w:ascii="Times New Roman" w:hAnsi="Times New Roman" w:hint="default"/>
      </w:rPr>
    </w:lvl>
    <w:lvl w:ilvl="8" w:tplc="ED3A8142"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459D6602"/>
    <w:multiLevelType w:val="hybridMultilevel"/>
    <w:tmpl w:val="C770CA74"/>
    <w:lvl w:ilvl="0" w:tplc="FF528474">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15:restartNumberingAfterBreak="0">
    <w:nsid w:val="5A3B624A"/>
    <w:multiLevelType w:val="multilevel"/>
    <w:tmpl w:val="DFF07EE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5CC77A3E"/>
    <w:multiLevelType w:val="hybridMultilevel"/>
    <w:tmpl w:val="FD08E06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655E0C2E"/>
    <w:multiLevelType w:val="hybridMultilevel"/>
    <w:tmpl w:val="8FDEC3B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5"/>
  </w:num>
  <w:num w:numId="3">
    <w:abstractNumId w:val="3"/>
  </w:num>
  <w:num w:numId="4">
    <w:abstractNumId w:val="0"/>
  </w:num>
  <w:num w:numId="5">
    <w:abstractNumId w:val="7"/>
  </w:num>
  <w:num w:numId="6">
    <w:abstractNumId w:val="4"/>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4A08"/>
    <w:rsid w:val="00084881"/>
    <w:rsid w:val="000D0392"/>
    <w:rsid w:val="001D7A23"/>
    <w:rsid w:val="00242F1B"/>
    <w:rsid w:val="00254531"/>
    <w:rsid w:val="00273A37"/>
    <w:rsid w:val="002A3F90"/>
    <w:rsid w:val="002E0F18"/>
    <w:rsid w:val="002F43ED"/>
    <w:rsid w:val="00337CA2"/>
    <w:rsid w:val="004B4E13"/>
    <w:rsid w:val="00500F1A"/>
    <w:rsid w:val="0051523E"/>
    <w:rsid w:val="0052427E"/>
    <w:rsid w:val="00586732"/>
    <w:rsid w:val="005C349B"/>
    <w:rsid w:val="00602229"/>
    <w:rsid w:val="0061372F"/>
    <w:rsid w:val="006412A6"/>
    <w:rsid w:val="0072114B"/>
    <w:rsid w:val="0073283D"/>
    <w:rsid w:val="00773DD0"/>
    <w:rsid w:val="007A7453"/>
    <w:rsid w:val="007E29CA"/>
    <w:rsid w:val="008020DA"/>
    <w:rsid w:val="008439D8"/>
    <w:rsid w:val="00844457"/>
    <w:rsid w:val="00876B79"/>
    <w:rsid w:val="008842EE"/>
    <w:rsid w:val="008F63E6"/>
    <w:rsid w:val="0092368B"/>
    <w:rsid w:val="00924676"/>
    <w:rsid w:val="009D5FD6"/>
    <w:rsid w:val="00B37BA4"/>
    <w:rsid w:val="00B709B0"/>
    <w:rsid w:val="00C521BC"/>
    <w:rsid w:val="00C83B6C"/>
    <w:rsid w:val="00D456D1"/>
    <w:rsid w:val="00D47D58"/>
    <w:rsid w:val="00DC388C"/>
    <w:rsid w:val="00DE3F7E"/>
    <w:rsid w:val="00E57577"/>
    <w:rsid w:val="00E71792"/>
    <w:rsid w:val="00F07F17"/>
    <w:rsid w:val="00F242BA"/>
    <w:rsid w:val="00F44A08"/>
    <w:rsid w:val="00FA5755"/>
    <w:rsid w:val="00FC3AF3"/>
    <w:rsid w:val="00FD1734"/>
    <w:rsid w:val="00FE1D95"/>
    <w:rsid w:val="00FE7FC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2054F7"/>
  <w15:chartTrackingRefBased/>
  <w15:docId w15:val="{9E1F58EB-B5E6-4874-B29C-890C9BCE0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4A08"/>
    <w:pPr>
      <w:jc w:val="both"/>
    </w:pPr>
    <w:rPr>
      <w:rFonts w:ascii="Arial" w:hAnsi="Arial"/>
      <w:sz w:val="20"/>
    </w:rPr>
  </w:style>
  <w:style w:type="paragraph" w:styleId="Ttulo1">
    <w:name w:val="heading 1"/>
    <w:basedOn w:val="Normal"/>
    <w:next w:val="Normal"/>
    <w:link w:val="Ttulo1Car"/>
    <w:uiPriority w:val="9"/>
    <w:qFormat/>
    <w:rsid w:val="00F44A08"/>
    <w:pPr>
      <w:keepNext/>
      <w:keepLines/>
      <w:spacing w:before="240" w:after="0"/>
      <w:outlineLvl w:val="0"/>
    </w:pPr>
    <w:rPr>
      <w:rFonts w:eastAsiaTheme="majorEastAsia" w:cstheme="majorBidi"/>
      <w:b/>
      <w:color w:val="000000" w:themeColor="text1"/>
      <w:sz w:val="24"/>
      <w:szCs w:val="32"/>
    </w:rPr>
  </w:style>
  <w:style w:type="paragraph" w:styleId="Ttulo2">
    <w:name w:val="heading 2"/>
    <w:basedOn w:val="Normal"/>
    <w:next w:val="Normal"/>
    <w:link w:val="Ttulo2Car"/>
    <w:uiPriority w:val="9"/>
    <w:unhideWhenUsed/>
    <w:qFormat/>
    <w:rsid w:val="00FC3AF3"/>
    <w:pPr>
      <w:keepNext/>
      <w:keepLines/>
      <w:spacing w:before="40" w:after="0"/>
      <w:outlineLvl w:val="1"/>
    </w:pPr>
    <w:rPr>
      <w:rFonts w:eastAsiaTheme="majorEastAsia" w:cstheme="majorBidi"/>
      <w:b/>
      <w:color w:val="000000" w:themeColor="text1"/>
      <w:sz w:val="22"/>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44A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44A08"/>
  </w:style>
  <w:style w:type="paragraph" w:styleId="Piedepgina">
    <w:name w:val="footer"/>
    <w:basedOn w:val="Normal"/>
    <w:link w:val="PiedepginaCar"/>
    <w:uiPriority w:val="99"/>
    <w:unhideWhenUsed/>
    <w:rsid w:val="00F44A0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44A08"/>
  </w:style>
  <w:style w:type="character" w:customStyle="1" w:styleId="Ttulo1Car">
    <w:name w:val="Título 1 Car"/>
    <w:basedOn w:val="Fuentedeprrafopredeter"/>
    <w:link w:val="Ttulo1"/>
    <w:uiPriority w:val="9"/>
    <w:rsid w:val="00F44A08"/>
    <w:rPr>
      <w:rFonts w:ascii="Arial" w:eastAsiaTheme="majorEastAsia" w:hAnsi="Arial" w:cstheme="majorBidi"/>
      <w:b/>
      <w:color w:val="000000" w:themeColor="text1"/>
      <w:sz w:val="24"/>
      <w:szCs w:val="32"/>
    </w:rPr>
  </w:style>
  <w:style w:type="paragraph" w:styleId="Prrafodelista">
    <w:name w:val="List Paragraph"/>
    <w:basedOn w:val="Normal"/>
    <w:uiPriority w:val="34"/>
    <w:qFormat/>
    <w:rsid w:val="00F44A08"/>
    <w:pPr>
      <w:ind w:left="720"/>
      <w:contextualSpacing/>
    </w:pPr>
  </w:style>
  <w:style w:type="character" w:customStyle="1" w:styleId="Ttulo2Car">
    <w:name w:val="Título 2 Car"/>
    <w:basedOn w:val="Fuentedeprrafopredeter"/>
    <w:link w:val="Ttulo2"/>
    <w:uiPriority w:val="9"/>
    <w:rsid w:val="00FC3AF3"/>
    <w:rPr>
      <w:rFonts w:ascii="Arial" w:eastAsiaTheme="majorEastAsia" w:hAnsi="Arial" w:cstheme="majorBidi"/>
      <w:b/>
      <w:color w:val="000000" w:themeColor="text1"/>
      <w:szCs w:val="26"/>
    </w:rPr>
  </w:style>
  <w:style w:type="paragraph" w:styleId="Ttulo">
    <w:name w:val="Title"/>
    <w:basedOn w:val="Normal"/>
    <w:next w:val="Normal"/>
    <w:link w:val="TtuloCar"/>
    <w:uiPriority w:val="10"/>
    <w:qFormat/>
    <w:rsid w:val="00FC3AF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C3AF3"/>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6514231">
      <w:bodyDiv w:val="1"/>
      <w:marLeft w:val="0"/>
      <w:marRight w:val="0"/>
      <w:marTop w:val="0"/>
      <w:marBottom w:val="0"/>
      <w:divBdr>
        <w:top w:val="none" w:sz="0" w:space="0" w:color="auto"/>
        <w:left w:val="none" w:sz="0" w:space="0" w:color="auto"/>
        <w:bottom w:val="none" w:sz="0" w:space="0" w:color="auto"/>
        <w:right w:val="none" w:sz="0" w:space="0" w:color="auto"/>
      </w:divBdr>
      <w:divsChild>
        <w:div w:id="1661343416">
          <w:marLeft w:val="547"/>
          <w:marRight w:val="0"/>
          <w:marTop w:val="0"/>
          <w:marBottom w:val="0"/>
          <w:divBdr>
            <w:top w:val="none" w:sz="0" w:space="0" w:color="auto"/>
            <w:left w:val="none" w:sz="0" w:space="0" w:color="auto"/>
            <w:bottom w:val="none" w:sz="0" w:space="0" w:color="auto"/>
            <w:right w:val="none" w:sz="0" w:space="0" w:color="auto"/>
          </w:divBdr>
        </w:div>
        <w:div w:id="1750956739">
          <w:marLeft w:val="547"/>
          <w:marRight w:val="0"/>
          <w:marTop w:val="0"/>
          <w:marBottom w:val="0"/>
          <w:divBdr>
            <w:top w:val="none" w:sz="0" w:space="0" w:color="auto"/>
            <w:left w:val="none" w:sz="0" w:space="0" w:color="auto"/>
            <w:bottom w:val="none" w:sz="0" w:space="0" w:color="auto"/>
            <w:right w:val="none" w:sz="0" w:space="0" w:color="auto"/>
          </w:divBdr>
        </w:div>
      </w:divsChild>
    </w:div>
    <w:div w:id="2091659541">
      <w:bodyDiv w:val="1"/>
      <w:marLeft w:val="0"/>
      <w:marRight w:val="0"/>
      <w:marTop w:val="0"/>
      <w:marBottom w:val="0"/>
      <w:divBdr>
        <w:top w:val="none" w:sz="0" w:space="0" w:color="auto"/>
        <w:left w:val="none" w:sz="0" w:space="0" w:color="auto"/>
        <w:bottom w:val="none" w:sz="0" w:space="0" w:color="auto"/>
        <w:right w:val="none" w:sz="0" w:space="0" w:color="auto"/>
      </w:divBdr>
      <w:divsChild>
        <w:div w:id="1771313137">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diagramColors" Target="diagrams/colors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diagramQuickStyle" Target="diagrams/quickStyle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diagramLayout" Target="diagrams/layout1.xm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diagramData" Target="diagrams/data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07/relationships/diagramDrawing" Target="diagrams/drawing1.xml"/></Relationships>
</file>

<file path=word/diagrams/colors1.xml><?xml version="1.0" encoding="utf-8"?>
<dgm:colorsDef xmlns:dgm="http://schemas.openxmlformats.org/drawingml/2006/diagram" xmlns:a="http://schemas.openxmlformats.org/drawingml/2006/main" uniqueId="urn:microsoft.com/office/officeart/2005/8/colors/accent3_4">
  <dgm:title val=""/>
  <dgm:desc val=""/>
  <dgm:catLst>
    <dgm:cat type="accent3" pri="11400"/>
  </dgm:catLst>
  <dgm:styleLbl name="node0">
    <dgm:fillClrLst meth="cycle">
      <a:schemeClr val="accent3">
        <a:shade val="60000"/>
      </a:schemeClr>
    </dgm:fillClrLst>
    <dgm:linClrLst meth="repeat">
      <a:schemeClr val="lt1"/>
    </dgm:linClrLst>
    <dgm:effectClrLst/>
    <dgm:txLinClrLst/>
    <dgm:txFillClrLst/>
    <dgm:txEffectClrLst/>
  </dgm:styleLbl>
  <dgm:styleLbl name="node1">
    <dgm:fillClrLst meth="cycle">
      <a:schemeClr val="accent3">
        <a:shade val="50000"/>
      </a:schemeClr>
      <a:schemeClr val="accent3">
        <a:tint val="55000"/>
      </a:schemeClr>
    </dgm:fillClrLst>
    <dgm:linClrLst meth="repeat">
      <a:schemeClr val="lt1"/>
    </dgm:linClrLst>
    <dgm:effectClrLst/>
    <dgm:txLinClrLst/>
    <dgm:txFillClrLst/>
    <dgm:txEffectClrLst/>
  </dgm:styleLbl>
  <dgm:styleLbl name="alignNode1">
    <dgm:fillClrLst meth="cycle">
      <a:schemeClr val="accent3">
        <a:shade val="50000"/>
      </a:schemeClr>
      <a:schemeClr val="accent3">
        <a:tint val="55000"/>
      </a:schemeClr>
    </dgm:fillClrLst>
    <dgm:linClrLst meth="cycle">
      <a:schemeClr val="accent3">
        <a:shade val="50000"/>
      </a:schemeClr>
      <a:schemeClr val="accent3">
        <a:tint val="55000"/>
      </a:schemeClr>
    </dgm:linClrLst>
    <dgm:effectClrLst/>
    <dgm:txLinClrLst/>
    <dgm:txFillClrLst/>
    <dgm:txEffectClrLst/>
  </dgm:styleLbl>
  <dgm:styleLbl name="lnNode1">
    <dgm:fillClrLst meth="cycle">
      <a:schemeClr val="accent3">
        <a:shade val="50000"/>
      </a:schemeClr>
      <a:schemeClr val="accent3">
        <a:tint val="55000"/>
      </a:schemeClr>
    </dgm:fillClrLst>
    <dgm:linClrLst meth="repeat">
      <a:schemeClr val="lt1"/>
    </dgm:linClrLst>
    <dgm:effectClrLst/>
    <dgm:txLinClrLst/>
    <dgm:txFillClrLst/>
    <dgm:txEffectClrLst/>
  </dgm:styleLbl>
  <dgm:styleLbl name="vennNode1">
    <dgm:fillClrLst meth="cycle">
      <a:schemeClr val="accent3">
        <a:shade val="80000"/>
        <a:alpha val="50000"/>
      </a:schemeClr>
      <a:schemeClr val="accent3">
        <a:tint val="50000"/>
        <a:alpha val="50000"/>
      </a:schemeClr>
    </dgm:fillClrLst>
    <dgm:linClrLst meth="repeat">
      <a:schemeClr val="lt1"/>
    </dgm:linClrLst>
    <dgm:effectClrLst/>
    <dgm:txLinClrLst/>
    <dgm:txFillClrLst/>
    <dgm:txEffectClrLst/>
  </dgm:styleLbl>
  <dgm:styleLbl name="node2">
    <dgm:fillClrLst>
      <a:schemeClr val="accent3">
        <a:shade val="80000"/>
      </a:schemeClr>
    </dgm:fillClrLst>
    <dgm:linClrLst meth="repeat">
      <a:schemeClr val="lt1"/>
    </dgm:linClrLst>
    <dgm:effectClrLst/>
    <dgm:txLinClrLst/>
    <dgm:txFillClrLst/>
    <dgm:txEffectClrLst/>
  </dgm:styleLbl>
  <dgm:styleLbl name="node3">
    <dgm:fillClrLst>
      <a:schemeClr val="accent3">
        <a:tint val="99000"/>
      </a:schemeClr>
    </dgm:fillClrLst>
    <dgm:linClrLst meth="repeat">
      <a:schemeClr val="lt1"/>
    </dgm:linClrLst>
    <dgm:effectClrLst/>
    <dgm:txLinClrLst/>
    <dgm:txFillClrLst/>
    <dgm:txEffectClrLst/>
  </dgm:styleLbl>
  <dgm:styleLbl name="node4">
    <dgm:fillClrLst>
      <a:schemeClr val="accent3">
        <a:tint val="70000"/>
      </a:schemeClr>
    </dgm:fillClrLst>
    <dgm:linClrLst meth="repeat">
      <a:schemeClr val="lt1"/>
    </dgm:linClrLst>
    <dgm:effectClrLst/>
    <dgm:txLinClrLst/>
    <dgm:txFillClrLst/>
    <dgm:txEffectClrLst/>
  </dgm:styleLbl>
  <dgm:styleLbl name="fgImgPlace1">
    <dgm:fillClrLst>
      <a:schemeClr val="accent3">
        <a:tint val="50000"/>
      </a:schemeClr>
      <a:schemeClr val="accent3">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3">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3">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3">
        <a:shade val="90000"/>
      </a:schemeClr>
      <a:schemeClr val="accent3">
        <a:tint val="50000"/>
      </a:schemeClr>
    </dgm:fillClrLst>
    <dgm:linClrLst meth="cycle">
      <a:schemeClr val="accent3">
        <a:shade val="90000"/>
      </a:schemeClr>
      <a:schemeClr val="accent3">
        <a:tint val="50000"/>
      </a:schemeClr>
    </dgm:linClrLst>
    <dgm:effectClrLst/>
    <dgm:txLinClrLst/>
    <dgm:txFillClrLst/>
    <dgm:txEffectClrLst/>
  </dgm:styleLbl>
  <dgm:styleLbl name="fgSibTrans2D1">
    <dgm:fillClrLst meth="cycle">
      <a:schemeClr val="accent3">
        <a:shade val="90000"/>
      </a:schemeClr>
      <a:schemeClr val="accent3">
        <a:tint val="50000"/>
      </a:schemeClr>
    </dgm:fillClrLst>
    <dgm:linClrLst meth="cycle">
      <a:schemeClr val="accent3">
        <a:shade val="90000"/>
      </a:schemeClr>
      <a:schemeClr val="accent3">
        <a:tint val="50000"/>
      </a:schemeClr>
    </dgm:linClrLst>
    <dgm:effectClrLst/>
    <dgm:txLinClrLst/>
    <dgm:txFillClrLst/>
    <dgm:txEffectClrLst/>
  </dgm:styleLbl>
  <dgm:styleLbl name="bgSibTrans2D1">
    <dgm:fillClrLst meth="cycle">
      <a:schemeClr val="accent3">
        <a:shade val="90000"/>
      </a:schemeClr>
      <a:schemeClr val="accent3">
        <a:tint val="50000"/>
      </a:schemeClr>
    </dgm:fillClrLst>
    <dgm:linClrLst meth="cycle">
      <a:schemeClr val="accent3">
        <a:shade val="90000"/>
      </a:schemeClr>
      <a:schemeClr val="accent3">
        <a:tint val="50000"/>
      </a:schemeClr>
    </dgm:linClrLst>
    <dgm:effectClrLst/>
    <dgm:txLinClrLst/>
    <dgm:txFillClrLst/>
    <dgm:txEffectClrLst/>
  </dgm:styleLbl>
  <dgm:styleLbl name="sibTrans1D1">
    <dgm:fillClrLst meth="cycle">
      <a:schemeClr val="accent3">
        <a:shade val="90000"/>
      </a:schemeClr>
      <a:schemeClr val="accent3">
        <a:tint val="50000"/>
      </a:schemeClr>
    </dgm:fillClrLst>
    <dgm:linClrLst meth="cycle">
      <a:schemeClr val="accent3">
        <a:shade val="90000"/>
      </a:schemeClr>
      <a:schemeClr val="accent3">
        <a:tint val="50000"/>
      </a:schemeClr>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accent3">
        <a:shade val="80000"/>
      </a:schemeClr>
    </dgm:fillClrLst>
    <dgm:linClrLst meth="repeat">
      <a:schemeClr val="lt1"/>
    </dgm:linClrLst>
    <dgm:effectClrLst/>
    <dgm:txLinClrLst/>
    <dgm:txFillClrLst/>
    <dgm:txEffectClrLst/>
  </dgm:styleLbl>
  <dgm:styleLbl name="asst1">
    <dgm:fillClrLst meth="repeat">
      <a:schemeClr val="accent3">
        <a:shade val="80000"/>
      </a:schemeClr>
    </dgm:fillClrLst>
    <dgm:linClrLst meth="repeat">
      <a:schemeClr val="lt1"/>
    </dgm:linClrLst>
    <dgm:effectClrLst/>
    <dgm:txLinClrLst/>
    <dgm:txFillClrLst/>
    <dgm:txEffectClrLst/>
  </dgm:styleLbl>
  <dgm:styleLbl name="asst2">
    <dgm:fillClrLst>
      <a:schemeClr val="accent3">
        <a:tint val="90000"/>
      </a:schemeClr>
    </dgm:fillClrLst>
    <dgm:linClrLst meth="repeat">
      <a:schemeClr val="lt1"/>
    </dgm:linClrLst>
    <dgm:effectClrLst/>
    <dgm:txLinClrLst/>
    <dgm:txFillClrLst/>
    <dgm:txEffectClrLst/>
  </dgm:styleLbl>
  <dgm:styleLbl name="asst3">
    <dgm:fillClrLst>
      <a:schemeClr val="accent3">
        <a:tint val="70000"/>
      </a:schemeClr>
    </dgm:fillClrLst>
    <dgm:linClrLst meth="repeat">
      <a:schemeClr val="lt1"/>
    </dgm:linClrLst>
    <dgm:effectClrLst/>
    <dgm:txLinClrLst/>
    <dgm:txFillClrLst/>
    <dgm:txEffectClrLst/>
  </dgm:styleLbl>
  <dgm:styleLbl name="asst4">
    <dgm:fillClrLst>
      <a:schemeClr val="accent3">
        <a:tint val="50000"/>
      </a:schemeClr>
    </dgm:fillClrLst>
    <dgm:linClrLst meth="repeat">
      <a:schemeClr val="lt1"/>
    </dgm:linClrLst>
    <dgm:effectClrLst/>
    <dgm:txLinClrLst/>
    <dgm:txFillClrLst/>
    <dgm:txEffectClrLst/>
  </dgm:styleLbl>
  <dgm:styleLbl name="parChTrans2D1">
    <dgm:fillClrLst meth="repeat">
      <a:schemeClr val="accent3">
        <a:tint val="60000"/>
      </a:schemeClr>
    </dgm:fillClrLst>
    <dgm:linClrLst meth="repeat">
      <a:schemeClr val="accent3">
        <a:shade val="80000"/>
      </a:schemeClr>
    </dgm:linClrLst>
    <dgm:effectClrLst/>
    <dgm:txLinClrLst/>
    <dgm:txFillClrLst/>
    <dgm:txEffectClrLst/>
  </dgm:styleLbl>
  <dgm:styleLbl name="parChTrans2D2">
    <dgm:fillClrLst meth="repeat">
      <a:schemeClr val="accent3">
        <a:tint val="90000"/>
      </a:schemeClr>
    </dgm:fillClrLst>
    <dgm:linClrLst meth="repeat">
      <a:schemeClr val="accent3">
        <a:tint val="90000"/>
      </a:schemeClr>
    </dgm:linClrLst>
    <dgm:effectClrLst/>
    <dgm:txLinClrLst/>
    <dgm:txFillClrLst/>
    <dgm:txEffectClrLst/>
  </dgm:styleLbl>
  <dgm:styleLbl name="parChTrans2D3">
    <dgm:fillClrLst meth="repeat">
      <a:schemeClr val="accent3">
        <a:tint val="70000"/>
      </a:schemeClr>
    </dgm:fillClrLst>
    <dgm:linClrLst meth="repeat">
      <a:schemeClr val="accent3">
        <a:tint val="70000"/>
      </a:schemeClr>
    </dgm:linClrLst>
    <dgm:effectClrLst/>
    <dgm:txLinClrLst/>
    <dgm:txFillClrLst/>
    <dgm:txEffectClrLst/>
  </dgm:styleLbl>
  <dgm:styleLbl name="parChTrans2D4">
    <dgm:fillClrLst meth="repeat">
      <a:schemeClr val="accent3">
        <a:tint val="50000"/>
      </a:schemeClr>
    </dgm:fillClrLst>
    <dgm:linClrLst meth="repeat">
      <a:schemeClr val="accent3">
        <a:tint val="50000"/>
      </a:schemeClr>
    </dgm:linClrLst>
    <dgm:effectClrLst/>
    <dgm:txLinClrLst/>
    <dgm:txFillClrLst meth="repeat">
      <a:schemeClr val="dk1"/>
    </dgm:txFillClrLst>
    <dgm:txEffectClrLst/>
  </dgm:styleLbl>
  <dgm:styleLbl name="parChTrans1D1">
    <dgm:fillClrLst meth="repeat">
      <a:schemeClr val="accent3">
        <a:shade val="80000"/>
      </a:schemeClr>
    </dgm:fillClrLst>
    <dgm:linClrLst meth="repeat">
      <a:schemeClr val="accent3">
        <a:shade val="80000"/>
      </a:schemeClr>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3">
        <a:tint val="90000"/>
      </a:schemeClr>
    </dgm:linClrLst>
    <dgm:effectClrLst/>
    <dgm:txLinClrLst/>
    <dgm:txFillClrLst meth="repeat">
      <a:schemeClr val="tx1"/>
    </dgm:txFillClrLst>
    <dgm:txEffectClrLst/>
  </dgm:styleLbl>
  <dgm:styleLbl name="parChTrans1D3">
    <dgm:fillClrLst meth="repeat">
      <a:schemeClr val="accent3">
        <a:tint val="70000"/>
      </a:schemeClr>
    </dgm:fillClrLst>
    <dgm:linClrLst meth="repeat">
      <a:schemeClr val="accent3">
        <a:tint val="70000"/>
      </a:schemeClr>
    </dgm:linClrLst>
    <dgm:effectClrLst/>
    <dgm:txLinClrLst/>
    <dgm:txFillClrLst meth="repeat">
      <a:schemeClr val="tx1"/>
    </dgm:txFillClrLst>
    <dgm:txEffectClrLst/>
  </dgm:styleLbl>
  <dgm:styleLbl name="parChTrans1D4">
    <dgm:fillClrLst meth="repeat">
      <a:schemeClr val="accent3">
        <a:tint val="50000"/>
      </a:schemeClr>
    </dgm:fillClrLst>
    <dgm:linClrLst meth="repeat">
      <a:schemeClr val="accent3">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3">
        <a:shade val="50000"/>
      </a:schemeClr>
      <a:schemeClr val="accent3">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3">
        <a:shade val="50000"/>
      </a:schemeClr>
      <a:schemeClr val="accent3">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3">
        <a:shade val="50000"/>
      </a:schemeClr>
      <a:schemeClr val="accent3">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3"/>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3">
        <a:shade val="50000"/>
      </a:schemeClr>
      <a:schemeClr val="accent3">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3">
        <a:shade val="50000"/>
      </a:schemeClr>
      <a:schemeClr val="accent3">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accent3">
        <a:alpha val="90000"/>
        <a:tint val="55000"/>
      </a:schemeClr>
    </dgm:fillClrLst>
    <dgm:linClrLst meth="repeat">
      <a:schemeClr val="accent3">
        <a:alpha val="90000"/>
        <a:tint val="55000"/>
      </a:schemeClr>
    </dgm:linClrLst>
    <dgm:effectClrLst/>
    <dgm:txLinClrLst/>
    <dgm:txFillClrLst meth="repeat">
      <a:schemeClr val="dk1"/>
    </dgm:txFillClrLst>
    <dgm:txEffectClrLst/>
  </dgm:styleLbl>
  <dgm:styleLbl name="alignAccFollowNode1">
    <dgm:fillClrLst meth="repeat">
      <a:schemeClr val="accent3">
        <a:alpha val="90000"/>
        <a:tint val="55000"/>
      </a:schemeClr>
    </dgm:fillClrLst>
    <dgm:linClrLst meth="repeat">
      <a:schemeClr val="accent3">
        <a:alpha val="90000"/>
        <a:tint val="55000"/>
      </a:schemeClr>
    </dgm:linClrLst>
    <dgm:effectClrLst/>
    <dgm:txLinClrLst/>
    <dgm:txFillClrLst meth="repeat">
      <a:schemeClr val="dk1"/>
    </dgm:txFillClrLst>
    <dgm:txEffectClrLst/>
  </dgm:styleLbl>
  <dgm:styleLbl name="bgAccFollowNode1">
    <dgm:fillClrLst meth="repeat">
      <a:schemeClr val="accent3">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a:tint val="50000"/>
      </a:schemeClr>
    </dgm:linClrLst>
    <dgm:effectClrLst/>
    <dgm:txLinClrLst/>
    <dgm:txFillClrLst meth="repeat">
      <a:schemeClr val="dk1"/>
    </dgm:txFillClrLst>
    <dgm:txEffectClrLst/>
  </dgm:styleLbl>
  <dgm:styleLbl name="bgShp">
    <dgm:fillClrLst meth="repeat">
      <a:schemeClr val="accent3">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3">
        <a:tint val="50000"/>
        <a:alpha val="55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946296A-A878-4F7B-815E-E634EC31BE06}" type="doc">
      <dgm:prSet loTypeId="urn:microsoft.com/office/officeart/2005/8/layout/process3" loCatId="process" qsTypeId="urn:microsoft.com/office/officeart/2005/8/quickstyle/simple1" qsCatId="simple" csTypeId="urn:microsoft.com/office/officeart/2005/8/colors/accent3_4" csCatId="accent3" phldr="1"/>
      <dgm:spPr/>
      <dgm:t>
        <a:bodyPr/>
        <a:lstStyle/>
        <a:p>
          <a:endParaRPr lang="en-US"/>
        </a:p>
      </dgm:t>
    </dgm:pt>
    <dgm:pt modelId="{F6DE08A6-E908-4513-B942-BEFB96CB75DB}">
      <dgm:prSet phldrT="[Text]"/>
      <dgm:spPr>
        <a:solidFill>
          <a:schemeClr val="tx1">
            <a:lumMod val="85000"/>
            <a:lumOff val="15000"/>
          </a:schemeClr>
        </a:solidFill>
      </dgm:spPr>
      <dgm:t>
        <a:bodyPr/>
        <a:lstStyle/>
        <a:p>
          <a:pPr algn="ctr"/>
          <a:r>
            <a:rPr lang="en-US">
              <a:latin typeface="Arial" panose="020B0604020202020204" pitchFamily="34" charset="0"/>
              <a:cs typeface="Arial" panose="020B0604020202020204" pitchFamily="34" charset="0"/>
            </a:rPr>
            <a:t>Riesgo de Incendio Ordinario</a:t>
          </a:r>
        </a:p>
      </dgm:t>
    </dgm:pt>
    <dgm:pt modelId="{9515F580-1A53-4451-B6A9-2731D67300A8}" type="parTrans" cxnId="{52BC54AE-A1C4-4D67-ACAD-421EE025612F}">
      <dgm:prSet/>
      <dgm:spPr/>
      <dgm:t>
        <a:bodyPr/>
        <a:lstStyle/>
        <a:p>
          <a:pPr algn="ctr"/>
          <a:endParaRPr lang="en-US"/>
        </a:p>
      </dgm:t>
    </dgm:pt>
    <dgm:pt modelId="{99405B8A-837C-4374-89EE-C93A3306C67C}" type="sibTrans" cxnId="{52BC54AE-A1C4-4D67-ACAD-421EE025612F}">
      <dgm:prSet/>
      <dgm:spPr/>
      <dgm:t>
        <a:bodyPr/>
        <a:lstStyle/>
        <a:p>
          <a:pPr algn="ctr"/>
          <a:endParaRPr lang="en-US">
            <a:latin typeface="Arial" panose="020B0604020202020204" pitchFamily="34" charset="0"/>
            <a:cs typeface="Arial" panose="020B0604020202020204" pitchFamily="34" charset="0"/>
          </a:endParaRPr>
        </a:p>
      </dgm:t>
    </dgm:pt>
    <dgm:pt modelId="{A2FFEE25-2C65-4F4F-88A1-36C74710DFCC}">
      <dgm:prSet phldrT="[Text]" custT="1"/>
      <dgm:spPr>
        <a:ln>
          <a:solidFill>
            <a:schemeClr val="tx1"/>
          </a:solidFill>
        </a:ln>
      </dgm:spPr>
      <dgm:t>
        <a:bodyPr/>
        <a:lstStyle/>
        <a:p>
          <a:pPr algn="ctr"/>
          <a:r>
            <a:rPr lang="en-US" sz="1200">
              <a:latin typeface="Arial" panose="020B0604020202020204" pitchFamily="34" charset="0"/>
              <a:cs typeface="Arial" panose="020B0604020202020204" pitchFamily="34" charset="0"/>
            </a:rPr>
            <a:t>1 Simulacro al Año</a:t>
          </a:r>
          <a:endParaRPr lang="en-US" sz="1200" b="1">
            <a:latin typeface="Arial" panose="020B0604020202020204" pitchFamily="34" charset="0"/>
            <a:cs typeface="Arial" panose="020B0604020202020204" pitchFamily="34" charset="0"/>
          </a:endParaRPr>
        </a:p>
      </dgm:t>
    </dgm:pt>
    <dgm:pt modelId="{F9B13166-F2FC-4824-9376-2BB53CA0956B}" type="parTrans" cxnId="{282BE5CB-66F9-414A-B0AD-C1AD010A7A6A}">
      <dgm:prSet/>
      <dgm:spPr/>
      <dgm:t>
        <a:bodyPr/>
        <a:lstStyle/>
        <a:p>
          <a:pPr algn="ctr"/>
          <a:endParaRPr lang="en-US"/>
        </a:p>
      </dgm:t>
    </dgm:pt>
    <dgm:pt modelId="{85B064DC-5F29-4882-A049-195669FAF46B}" type="sibTrans" cxnId="{282BE5CB-66F9-414A-B0AD-C1AD010A7A6A}">
      <dgm:prSet/>
      <dgm:spPr/>
      <dgm:t>
        <a:bodyPr/>
        <a:lstStyle/>
        <a:p>
          <a:pPr algn="ctr"/>
          <a:endParaRPr lang="en-US"/>
        </a:p>
      </dgm:t>
    </dgm:pt>
    <dgm:pt modelId="{08EBF7B4-5E99-40EE-81BB-4DF9266ACF3B}">
      <dgm:prSet phldrT="[Text]"/>
      <dgm:spPr>
        <a:solidFill>
          <a:schemeClr val="tx1">
            <a:lumMod val="85000"/>
            <a:lumOff val="15000"/>
          </a:schemeClr>
        </a:solidFill>
      </dgm:spPr>
      <dgm:t>
        <a:bodyPr/>
        <a:lstStyle/>
        <a:p>
          <a:pPr algn="ctr"/>
          <a:r>
            <a:rPr lang="en-US">
              <a:latin typeface="Arial" panose="020B0604020202020204" pitchFamily="34" charset="0"/>
              <a:cs typeface="Arial" panose="020B0604020202020204" pitchFamily="34" charset="0"/>
            </a:rPr>
            <a:t>Riesgo de Incendio Alto</a:t>
          </a:r>
        </a:p>
      </dgm:t>
    </dgm:pt>
    <dgm:pt modelId="{0BF0EFED-DB85-4DD0-A268-DB2087BD7D05}" type="parTrans" cxnId="{FC079FB3-C3E9-416D-8740-1E12F955DAC3}">
      <dgm:prSet/>
      <dgm:spPr/>
      <dgm:t>
        <a:bodyPr/>
        <a:lstStyle/>
        <a:p>
          <a:pPr algn="ctr"/>
          <a:endParaRPr lang="en-US"/>
        </a:p>
      </dgm:t>
    </dgm:pt>
    <dgm:pt modelId="{9E128C3A-412F-496A-ABB5-B24A312EB115}" type="sibTrans" cxnId="{FC079FB3-C3E9-416D-8740-1E12F955DAC3}">
      <dgm:prSet/>
      <dgm:spPr/>
      <dgm:t>
        <a:bodyPr/>
        <a:lstStyle/>
        <a:p>
          <a:pPr algn="ctr"/>
          <a:endParaRPr lang="en-US"/>
        </a:p>
      </dgm:t>
    </dgm:pt>
    <dgm:pt modelId="{1C8A2715-02CD-4DE2-9347-236311F35677}">
      <dgm:prSet phldrT="[Text]" custT="1"/>
      <dgm:spPr>
        <a:ln>
          <a:solidFill>
            <a:schemeClr val="tx1"/>
          </a:solidFill>
        </a:ln>
      </dgm:spPr>
      <dgm:t>
        <a:bodyPr/>
        <a:lstStyle/>
        <a:p>
          <a:pPr algn="ctr"/>
          <a:r>
            <a:rPr lang="en-US" sz="1200">
              <a:latin typeface="Arial" panose="020B0604020202020204" pitchFamily="34" charset="0"/>
              <a:cs typeface="Arial" panose="020B0604020202020204" pitchFamily="34" charset="0"/>
            </a:rPr>
            <a:t>2 Simulacros al Año</a:t>
          </a:r>
          <a:endParaRPr lang="en-US" sz="1200" b="1">
            <a:latin typeface="Arial" panose="020B0604020202020204" pitchFamily="34" charset="0"/>
            <a:cs typeface="Arial" panose="020B0604020202020204" pitchFamily="34" charset="0"/>
          </a:endParaRPr>
        </a:p>
      </dgm:t>
    </dgm:pt>
    <dgm:pt modelId="{A5219B8F-6DFB-4545-83E5-6BF6D37D65A8}" type="parTrans" cxnId="{BE1AF792-2D72-4494-B555-09E874DFD5EC}">
      <dgm:prSet/>
      <dgm:spPr/>
      <dgm:t>
        <a:bodyPr/>
        <a:lstStyle/>
        <a:p>
          <a:pPr algn="ctr"/>
          <a:endParaRPr lang="en-US"/>
        </a:p>
      </dgm:t>
    </dgm:pt>
    <dgm:pt modelId="{ABD20819-0639-47CF-B453-EDB915A00348}" type="sibTrans" cxnId="{BE1AF792-2D72-4494-B555-09E874DFD5EC}">
      <dgm:prSet/>
      <dgm:spPr/>
      <dgm:t>
        <a:bodyPr/>
        <a:lstStyle/>
        <a:p>
          <a:pPr algn="ctr"/>
          <a:endParaRPr lang="en-US"/>
        </a:p>
      </dgm:t>
    </dgm:pt>
    <dgm:pt modelId="{4508B5F0-0E88-42B6-8F56-F81AB3D73ADD}">
      <dgm:prSet phldrT="[Text]" custT="1"/>
      <dgm:spPr>
        <a:ln>
          <a:solidFill>
            <a:schemeClr val="tx1"/>
          </a:solidFill>
        </a:ln>
      </dgm:spPr>
      <dgm:t>
        <a:bodyPr/>
        <a:lstStyle/>
        <a:p>
          <a:pPr algn="ctr"/>
          <a:endParaRPr lang="en-US" sz="1200" b="1">
            <a:latin typeface="Arial" panose="020B0604020202020204" pitchFamily="34" charset="0"/>
            <a:cs typeface="Arial" panose="020B0604020202020204" pitchFamily="34" charset="0"/>
          </a:endParaRPr>
        </a:p>
      </dgm:t>
    </dgm:pt>
    <dgm:pt modelId="{BA401131-FAD8-4B6B-8811-4BA65F1B584C}" type="parTrans" cxnId="{356DFE1F-3A3A-4686-AE1A-545991B4B7E9}">
      <dgm:prSet/>
      <dgm:spPr/>
      <dgm:t>
        <a:bodyPr/>
        <a:lstStyle/>
        <a:p>
          <a:pPr algn="ctr"/>
          <a:endParaRPr lang="en-US"/>
        </a:p>
      </dgm:t>
    </dgm:pt>
    <dgm:pt modelId="{931CE5B4-7810-43B0-B9F8-91ECF7D0C7D9}" type="sibTrans" cxnId="{356DFE1F-3A3A-4686-AE1A-545991B4B7E9}">
      <dgm:prSet/>
      <dgm:spPr/>
      <dgm:t>
        <a:bodyPr/>
        <a:lstStyle/>
        <a:p>
          <a:pPr algn="ctr"/>
          <a:endParaRPr lang="en-US"/>
        </a:p>
      </dgm:t>
    </dgm:pt>
    <dgm:pt modelId="{DA6853C4-15AD-4B9D-A605-2E5B7C62AD19}" type="pres">
      <dgm:prSet presAssocID="{A946296A-A878-4F7B-815E-E634EC31BE06}" presName="linearFlow" presStyleCnt="0">
        <dgm:presLayoutVars>
          <dgm:dir/>
          <dgm:animLvl val="lvl"/>
          <dgm:resizeHandles val="exact"/>
        </dgm:presLayoutVars>
      </dgm:prSet>
      <dgm:spPr/>
    </dgm:pt>
    <dgm:pt modelId="{FA93B736-6ED9-499B-9328-08C3814E330F}" type="pres">
      <dgm:prSet presAssocID="{F6DE08A6-E908-4513-B942-BEFB96CB75DB}" presName="composite" presStyleCnt="0"/>
      <dgm:spPr/>
    </dgm:pt>
    <dgm:pt modelId="{BC9A3F5E-0253-4C38-B5A8-788F031419A0}" type="pres">
      <dgm:prSet presAssocID="{F6DE08A6-E908-4513-B942-BEFB96CB75DB}" presName="parTx" presStyleLbl="node1" presStyleIdx="0" presStyleCnt="2">
        <dgm:presLayoutVars>
          <dgm:chMax val="0"/>
          <dgm:chPref val="0"/>
          <dgm:bulletEnabled val="1"/>
        </dgm:presLayoutVars>
      </dgm:prSet>
      <dgm:spPr/>
    </dgm:pt>
    <dgm:pt modelId="{4DF29889-3F4C-42F8-B137-DD3BD86CEDB6}" type="pres">
      <dgm:prSet presAssocID="{F6DE08A6-E908-4513-B942-BEFB96CB75DB}" presName="parSh" presStyleLbl="node1" presStyleIdx="0" presStyleCnt="2" custLinFactNeighborX="-116" custLinFactNeighborY="-1058"/>
      <dgm:spPr/>
    </dgm:pt>
    <dgm:pt modelId="{063D3A59-7DD9-4872-B53C-CACF49267984}" type="pres">
      <dgm:prSet presAssocID="{F6DE08A6-E908-4513-B942-BEFB96CB75DB}" presName="desTx" presStyleLbl="fgAcc1" presStyleIdx="0" presStyleCnt="2" custLinFactNeighborX="-17585" custLinFactNeighborY="34769">
        <dgm:presLayoutVars>
          <dgm:bulletEnabled val="1"/>
        </dgm:presLayoutVars>
      </dgm:prSet>
      <dgm:spPr/>
    </dgm:pt>
    <dgm:pt modelId="{1263393E-B2BC-44E7-8B0A-97CF6CE1CDE1}" type="pres">
      <dgm:prSet presAssocID="{99405B8A-837C-4374-89EE-C93A3306C67C}" presName="sibTrans" presStyleLbl="sibTrans2D1" presStyleIdx="0" presStyleCnt="1"/>
      <dgm:spPr/>
    </dgm:pt>
    <dgm:pt modelId="{1C0A5726-4DCC-4DEB-8EEC-4175C07E5B39}" type="pres">
      <dgm:prSet presAssocID="{99405B8A-837C-4374-89EE-C93A3306C67C}" presName="connTx" presStyleLbl="sibTrans2D1" presStyleIdx="0" presStyleCnt="1"/>
      <dgm:spPr/>
    </dgm:pt>
    <dgm:pt modelId="{BB2D3E38-C3FD-47A0-AB6A-F3EBB199577B}" type="pres">
      <dgm:prSet presAssocID="{08EBF7B4-5E99-40EE-81BB-4DF9266ACF3B}" presName="composite" presStyleCnt="0"/>
      <dgm:spPr/>
    </dgm:pt>
    <dgm:pt modelId="{7E3E5884-AC4F-459A-9BE4-ABD7C17C5A35}" type="pres">
      <dgm:prSet presAssocID="{08EBF7B4-5E99-40EE-81BB-4DF9266ACF3B}" presName="parTx" presStyleLbl="node1" presStyleIdx="0" presStyleCnt="2">
        <dgm:presLayoutVars>
          <dgm:chMax val="0"/>
          <dgm:chPref val="0"/>
          <dgm:bulletEnabled val="1"/>
        </dgm:presLayoutVars>
      </dgm:prSet>
      <dgm:spPr/>
    </dgm:pt>
    <dgm:pt modelId="{41B2B5C0-87E8-453A-830C-1AE4D52DC20F}" type="pres">
      <dgm:prSet presAssocID="{08EBF7B4-5E99-40EE-81BB-4DF9266ACF3B}" presName="parSh" presStyleLbl="node1" presStyleIdx="1" presStyleCnt="2"/>
      <dgm:spPr/>
    </dgm:pt>
    <dgm:pt modelId="{7C0F10C6-F2E0-453E-9347-4D46BA167201}" type="pres">
      <dgm:prSet presAssocID="{08EBF7B4-5E99-40EE-81BB-4DF9266ACF3B}" presName="desTx" presStyleLbl="fgAcc1" presStyleIdx="1" presStyleCnt="2" custLinFactNeighborX="-18562" custLinFactNeighborY="35617">
        <dgm:presLayoutVars>
          <dgm:bulletEnabled val="1"/>
        </dgm:presLayoutVars>
      </dgm:prSet>
      <dgm:spPr/>
    </dgm:pt>
  </dgm:ptLst>
  <dgm:cxnLst>
    <dgm:cxn modelId="{DE02EE15-0C16-4147-90C1-969D4BE92430}" type="presOf" srcId="{1C8A2715-02CD-4DE2-9347-236311F35677}" destId="{7C0F10C6-F2E0-453E-9347-4D46BA167201}" srcOrd="0" destOrd="0" presId="urn:microsoft.com/office/officeart/2005/8/layout/process3"/>
    <dgm:cxn modelId="{356DFE1F-3A3A-4686-AE1A-545991B4B7E9}" srcId="{F6DE08A6-E908-4513-B942-BEFB96CB75DB}" destId="{4508B5F0-0E88-42B6-8F56-F81AB3D73ADD}" srcOrd="1" destOrd="0" parTransId="{BA401131-FAD8-4B6B-8811-4BA65F1B584C}" sibTransId="{931CE5B4-7810-43B0-B9F8-91ECF7D0C7D9}"/>
    <dgm:cxn modelId="{AE010139-A43B-4979-ABE2-E5B538063E1F}" type="presOf" srcId="{99405B8A-837C-4374-89EE-C93A3306C67C}" destId="{1C0A5726-4DCC-4DEB-8EEC-4175C07E5B39}" srcOrd="1" destOrd="0" presId="urn:microsoft.com/office/officeart/2005/8/layout/process3"/>
    <dgm:cxn modelId="{7A73885E-CF2C-42DD-B095-08E7777239FA}" type="presOf" srcId="{F6DE08A6-E908-4513-B942-BEFB96CB75DB}" destId="{BC9A3F5E-0253-4C38-B5A8-788F031419A0}" srcOrd="0" destOrd="0" presId="urn:microsoft.com/office/officeart/2005/8/layout/process3"/>
    <dgm:cxn modelId="{158B7660-A055-493E-9D2E-6DED85CF89E8}" type="presOf" srcId="{08EBF7B4-5E99-40EE-81BB-4DF9266ACF3B}" destId="{41B2B5C0-87E8-453A-830C-1AE4D52DC20F}" srcOrd="1" destOrd="0" presId="urn:microsoft.com/office/officeart/2005/8/layout/process3"/>
    <dgm:cxn modelId="{44657F80-6A4E-40EA-82CE-4FAC57EE2E3F}" type="presOf" srcId="{99405B8A-837C-4374-89EE-C93A3306C67C}" destId="{1263393E-B2BC-44E7-8B0A-97CF6CE1CDE1}" srcOrd="0" destOrd="0" presId="urn:microsoft.com/office/officeart/2005/8/layout/process3"/>
    <dgm:cxn modelId="{BE1AF792-2D72-4494-B555-09E874DFD5EC}" srcId="{08EBF7B4-5E99-40EE-81BB-4DF9266ACF3B}" destId="{1C8A2715-02CD-4DE2-9347-236311F35677}" srcOrd="0" destOrd="0" parTransId="{A5219B8F-6DFB-4545-83E5-6BF6D37D65A8}" sibTransId="{ABD20819-0639-47CF-B453-EDB915A00348}"/>
    <dgm:cxn modelId="{BA98079F-49A2-4F0E-8FBB-0AD96FE80E67}" type="presOf" srcId="{F6DE08A6-E908-4513-B942-BEFB96CB75DB}" destId="{4DF29889-3F4C-42F8-B137-DD3BD86CEDB6}" srcOrd="1" destOrd="0" presId="urn:microsoft.com/office/officeart/2005/8/layout/process3"/>
    <dgm:cxn modelId="{41E717A4-0182-4893-B248-D7BD430ABFC4}" type="presOf" srcId="{A2FFEE25-2C65-4F4F-88A1-36C74710DFCC}" destId="{063D3A59-7DD9-4872-B53C-CACF49267984}" srcOrd="0" destOrd="0" presId="urn:microsoft.com/office/officeart/2005/8/layout/process3"/>
    <dgm:cxn modelId="{52BC54AE-A1C4-4D67-ACAD-421EE025612F}" srcId="{A946296A-A878-4F7B-815E-E634EC31BE06}" destId="{F6DE08A6-E908-4513-B942-BEFB96CB75DB}" srcOrd="0" destOrd="0" parTransId="{9515F580-1A53-4451-B6A9-2731D67300A8}" sibTransId="{99405B8A-837C-4374-89EE-C93A3306C67C}"/>
    <dgm:cxn modelId="{FC079FB3-C3E9-416D-8740-1E12F955DAC3}" srcId="{A946296A-A878-4F7B-815E-E634EC31BE06}" destId="{08EBF7B4-5E99-40EE-81BB-4DF9266ACF3B}" srcOrd="1" destOrd="0" parTransId="{0BF0EFED-DB85-4DD0-A268-DB2087BD7D05}" sibTransId="{9E128C3A-412F-496A-ABB5-B24A312EB115}"/>
    <dgm:cxn modelId="{282BE5CB-66F9-414A-B0AD-C1AD010A7A6A}" srcId="{F6DE08A6-E908-4513-B942-BEFB96CB75DB}" destId="{A2FFEE25-2C65-4F4F-88A1-36C74710DFCC}" srcOrd="0" destOrd="0" parTransId="{F9B13166-F2FC-4824-9376-2BB53CA0956B}" sibTransId="{85B064DC-5F29-4882-A049-195669FAF46B}"/>
    <dgm:cxn modelId="{3C6A8FCC-B934-486A-A089-56C4B2CC4C12}" type="presOf" srcId="{A946296A-A878-4F7B-815E-E634EC31BE06}" destId="{DA6853C4-15AD-4B9D-A605-2E5B7C62AD19}" srcOrd="0" destOrd="0" presId="urn:microsoft.com/office/officeart/2005/8/layout/process3"/>
    <dgm:cxn modelId="{747873E0-2CDF-4850-B790-C2923373FF9F}" type="presOf" srcId="{08EBF7B4-5E99-40EE-81BB-4DF9266ACF3B}" destId="{7E3E5884-AC4F-459A-9BE4-ABD7C17C5A35}" srcOrd="0" destOrd="0" presId="urn:microsoft.com/office/officeart/2005/8/layout/process3"/>
    <dgm:cxn modelId="{731C9BE8-A6DD-49B9-A032-89ABCA9F489B}" type="presOf" srcId="{4508B5F0-0E88-42B6-8F56-F81AB3D73ADD}" destId="{063D3A59-7DD9-4872-B53C-CACF49267984}" srcOrd="0" destOrd="1" presId="urn:microsoft.com/office/officeart/2005/8/layout/process3"/>
    <dgm:cxn modelId="{5CD5BC96-DD8D-4B08-BCD1-29CA31746E93}" type="presParOf" srcId="{DA6853C4-15AD-4B9D-A605-2E5B7C62AD19}" destId="{FA93B736-6ED9-499B-9328-08C3814E330F}" srcOrd="0" destOrd="0" presId="urn:microsoft.com/office/officeart/2005/8/layout/process3"/>
    <dgm:cxn modelId="{F4B9F27B-52AB-42B3-BB52-C2B1D60E5671}" type="presParOf" srcId="{FA93B736-6ED9-499B-9328-08C3814E330F}" destId="{BC9A3F5E-0253-4C38-B5A8-788F031419A0}" srcOrd="0" destOrd="0" presId="urn:microsoft.com/office/officeart/2005/8/layout/process3"/>
    <dgm:cxn modelId="{219B098D-14C9-4654-A4FA-F665C4C95E6D}" type="presParOf" srcId="{FA93B736-6ED9-499B-9328-08C3814E330F}" destId="{4DF29889-3F4C-42F8-B137-DD3BD86CEDB6}" srcOrd="1" destOrd="0" presId="urn:microsoft.com/office/officeart/2005/8/layout/process3"/>
    <dgm:cxn modelId="{EA9BFB57-5428-478F-B4B1-7980BD7E91CA}" type="presParOf" srcId="{FA93B736-6ED9-499B-9328-08C3814E330F}" destId="{063D3A59-7DD9-4872-B53C-CACF49267984}" srcOrd="2" destOrd="0" presId="urn:microsoft.com/office/officeart/2005/8/layout/process3"/>
    <dgm:cxn modelId="{969DC40D-EB9A-4F19-8DD2-8465276202C8}" type="presParOf" srcId="{DA6853C4-15AD-4B9D-A605-2E5B7C62AD19}" destId="{1263393E-B2BC-44E7-8B0A-97CF6CE1CDE1}" srcOrd="1" destOrd="0" presId="urn:microsoft.com/office/officeart/2005/8/layout/process3"/>
    <dgm:cxn modelId="{2979C4F3-3BCF-43BD-8E39-D1B421AFF9A5}" type="presParOf" srcId="{1263393E-B2BC-44E7-8B0A-97CF6CE1CDE1}" destId="{1C0A5726-4DCC-4DEB-8EEC-4175C07E5B39}" srcOrd="0" destOrd="0" presId="urn:microsoft.com/office/officeart/2005/8/layout/process3"/>
    <dgm:cxn modelId="{A2476212-86C8-41DE-ADD7-86D31A1BE2EC}" type="presParOf" srcId="{DA6853C4-15AD-4B9D-A605-2E5B7C62AD19}" destId="{BB2D3E38-C3FD-47A0-AB6A-F3EBB199577B}" srcOrd="2" destOrd="0" presId="urn:microsoft.com/office/officeart/2005/8/layout/process3"/>
    <dgm:cxn modelId="{933E15C0-4B26-4FB0-80AA-43D5E62BEDA9}" type="presParOf" srcId="{BB2D3E38-C3FD-47A0-AB6A-F3EBB199577B}" destId="{7E3E5884-AC4F-459A-9BE4-ABD7C17C5A35}" srcOrd="0" destOrd="0" presId="urn:microsoft.com/office/officeart/2005/8/layout/process3"/>
    <dgm:cxn modelId="{1A22793F-6E84-4BC7-BFEF-F9A580FE18B4}" type="presParOf" srcId="{BB2D3E38-C3FD-47A0-AB6A-F3EBB199577B}" destId="{41B2B5C0-87E8-453A-830C-1AE4D52DC20F}" srcOrd="1" destOrd="0" presId="urn:microsoft.com/office/officeart/2005/8/layout/process3"/>
    <dgm:cxn modelId="{21A37054-0F10-4418-802A-D24359F2AF83}" type="presParOf" srcId="{BB2D3E38-C3FD-47A0-AB6A-F3EBB199577B}" destId="{7C0F10C6-F2E0-453E-9347-4D46BA167201}" srcOrd="2" destOrd="0" presId="urn:microsoft.com/office/officeart/2005/8/layout/process3"/>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DF29889-3F4C-42F8-B137-DD3BD86CEDB6}">
      <dsp:nvSpPr>
        <dsp:cNvPr id="0" name=""/>
        <dsp:cNvSpPr/>
      </dsp:nvSpPr>
      <dsp:spPr>
        <a:xfrm>
          <a:off x="9" y="829645"/>
          <a:ext cx="1950002" cy="900675"/>
        </a:xfrm>
        <a:prstGeom prst="roundRect">
          <a:avLst>
            <a:gd name="adj" fmla="val 10000"/>
          </a:avLst>
        </a:prstGeom>
        <a:solidFill>
          <a:schemeClr val="tx1">
            <a:lumMod val="85000"/>
            <a:lumOff val="1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3792" tIns="113792" rIns="113792" bIns="60960" numCol="1" spcCol="1270" anchor="t" anchorCtr="0">
          <a:noAutofit/>
        </a:bodyPr>
        <a:lstStyle/>
        <a:p>
          <a:pPr marL="0" lvl="0" indent="0" algn="ctr" defTabSz="711200">
            <a:lnSpc>
              <a:spcPct val="90000"/>
            </a:lnSpc>
            <a:spcBef>
              <a:spcPct val="0"/>
            </a:spcBef>
            <a:spcAft>
              <a:spcPct val="35000"/>
            </a:spcAft>
            <a:buNone/>
          </a:pPr>
          <a:r>
            <a:rPr lang="en-US" sz="1600" kern="1200">
              <a:latin typeface="Arial" panose="020B0604020202020204" pitchFamily="34" charset="0"/>
              <a:cs typeface="Arial" panose="020B0604020202020204" pitchFamily="34" charset="0"/>
            </a:rPr>
            <a:t>Riesgo de Incendio Ordinario</a:t>
          </a:r>
        </a:p>
      </dsp:txBody>
      <dsp:txXfrm>
        <a:off x="9" y="829645"/>
        <a:ext cx="1950002" cy="600450"/>
      </dsp:txXfrm>
    </dsp:sp>
    <dsp:sp modelId="{063D3A59-7DD9-4872-B53C-CACF49267984}">
      <dsp:nvSpPr>
        <dsp:cNvPr id="0" name=""/>
        <dsp:cNvSpPr/>
      </dsp:nvSpPr>
      <dsp:spPr>
        <a:xfrm>
          <a:off x="58761" y="1760056"/>
          <a:ext cx="1950002" cy="921600"/>
        </a:xfrm>
        <a:prstGeom prst="roundRect">
          <a:avLst>
            <a:gd name="adj" fmla="val 10000"/>
          </a:avLst>
        </a:prstGeom>
        <a:solidFill>
          <a:schemeClr val="lt1">
            <a:alpha val="90000"/>
            <a:hueOff val="0"/>
            <a:satOff val="0"/>
            <a:lumOff val="0"/>
            <a:alphaOff val="0"/>
          </a:schemeClr>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85344" tIns="85344" rIns="85344" bIns="85344" numCol="1" spcCol="1270" anchor="t" anchorCtr="0">
          <a:noAutofit/>
        </a:bodyPr>
        <a:lstStyle/>
        <a:p>
          <a:pPr marL="114300" lvl="1" indent="-114300" algn="ctr" defTabSz="533400">
            <a:lnSpc>
              <a:spcPct val="90000"/>
            </a:lnSpc>
            <a:spcBef>
              <a:spcPct val="0"/>
            </a:spcBef>
            <a:spcAft>
              <a:spcPct val="15000"/>
            </a:spcAft>
            <a:buChar char="•"/>
          </a:pPr>
          <a:r>
            <a:rPr lang="en-US" sz="1200" kern="1200">
              <a:latin typeface="Arial" panose="020B0604020202020204" pitchFamily="34" charset="0"/>
              <a:cs typeface="Arial" panose="020B0604020202020204" pitchFamily="34" charset="0"/>
            </a:rPr>
            <a:t>1 Simulacro al Año</a:t>
          </a:r>
          <a:endParaRPr lang="en-US" sz="1200" b="1" kern="1200">
            <a:latin typeface="Arial" panose="020B0604020202020204" pitchFamily="34" charset="0"/>
            <a:cs typeface="Arial" panose="020B0604020202020204" pitchFamily="34" charset="0"/>
          </a:endParaRPr>
        </a:p>
        <a:p>
          <a:pPr marL="114300" lvl="1" indent="-114300" algn="ctr" defTabSz="533400">
            <a:lnSpc>
              <a:spcPct val="90000"/>
            </a:lnSpc>
            <a:spcBef>
              <a:spcPct val="0"/>
            </a:spcBef>
            <a:spcAft>
              <a:spcPct val="15000"/>
            </a:spcAft>
            <a:buChar char="•"/>
          </a:pPr>
          <a:endParaRPr lang="en-US" sz="1200" b="1" kern="1200">
            <a:latin typeface="Arial" panose="020B0604020202020204" pitchFamily="34" charset="0"/>
            <a:cs typeface="Arial" panose="020B0604020202020204" pitchFamily="34" charset="0"/>
          </a:endParaRPr>
        </a:p>
      </dsp:txBody>
      <dsp:txXfrm>
        <a:off x="85754" y="1787049"/>
        <a:ext cx="1896016" cy="867614"/>
      </dsp:txXfrm>
    </dsp:sp>
    <dsp:sp modelId="{1263393E-B2BC-44E7-8B0A-97CF6CE1CDE1}">
      <dsp:nvSpPr>
        <dsp:cNvPr id="0" name=""/>
        <dsp:cNvSpPr/>
      </dsp:nvSpPr>
      <dsp:spPr>
        <a:xfrm rot="10450">
          <a:off x="2246189" y="891942"/>
          <a:ext cx="627902" cy="485494"/>
        </a:xfrm>
        <a:prstGeom prst="rightArrow">
          <a:avLst>
            <a:gd name="adj1" fmla="val 60000"/>
            <a:gd name="adj2" fmla="val 50000"/>
          </a:avLst>
        </a:prstGeom>
        <a:solidFill>
          <a:schemeClr val="accent3">
            <a:shade val="9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577850">
            <a:lnSpc>
              <a:spcPct val="90000"/>
            </a:lnSpc>
            <a:spcBef>
              <a:spcPct val="0"/>
            </a:spcBef>
            <a:spcAft>
              <a:spcPct val="35000"/>
            </a:spcAft>
            <a:buNone/>
          </a:pPr>
          <a:endParaRPr lang="en-US" sz="1300" kern="1200">
            <a:latin typeface="Arial" panose="020B0604020202020204" pitchFamily="34" charset="0"/>
            <a:cs typeface="Arial" panose="020B0604020202020204" pitchFamily="34" charset="0"/>
          </a:endParaRPr>
        </a:p>
      </dsp:txBody>
      <dsp:txXfrm>
        <a:off x="2246189" y="988820"/>
        <a:ext cx="482254" cy="291296"/>
      </dsp:txXfrm>
    </dsp:sp>
    <dsp:sp modelId="{41B2B5C0-87E8-453A-830C-1AE4D52DC20F}">
      <dsp:nvSpPr>
        <dsp:cNvPr id="0" name=""/>
        <dsp:cNvSpPr/>
      </dsp:nvSpPr>
      <dsp:spPr>
        <a:xfrm>
          <a:off x="3134727" y="839174"/>
          <a:ext cx="1950002" cy="900675"/>
        </a:xfrm>
        <a:prstGeom prst="roundRect">
          <a:avLst>
            <a:gd name="adj" fmla="val 10000"/>
          </a:avLst>
        </a:prstGeom>
        <a:solidFill>
          <a:schemeClr val="tx1">
            <a:lumMod val="85000"/>
            <a:lumOff val="1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3792" tIns="113792" rIns="113792" bIns="60960" numCol="1" spcCol="1270" anchor="t" anchorCtr="0">
          <a:noAutofit/>
        </a:bodyPr>
        <a:lstStyle/>
        <a:p>
          <a:pPr marL="0" lvl="0" indent="0" algn="ctr" defTabSz="711200">
            <a:lnSpc>
              <a:spcPct val="90000"/>
            </a:lnSpc>
            <a:spcBef>
              <a:spcPct val="0"/>
            </a:spcBef>
            <a:spcAft>
              <a:spcPct val="35000"/>
            </a:spcAft>
            <a:buNone/>
          </a:pPr>
          <a:r>
            <a:rPr lang="en-US" sz="1600" kern="1200">
              <a:latin typeface="Arial" panose="020B0604020202020204" pitchFamily="34" charset="0"/>
              <a:cs typeface="Arial" panose="020B0604020202020204" pitchFamily="34" charset="0"/>
            </a:rPr>
            <a:t>Riesgo de Incendio Alto</a:t>
          </a:r>
        </a:p>
      </dsp:txBody>
      <dsp:txXfrm>
        <a:off x="3134727" y="839174"/>
        <a:ext cx="1950002" cy="600450"/>
      </dsp:txXfrm>
    </dsp:sp>
    <dsp:sp modelId="{7C0F10C6-F2E0-453E-9347-4D46BA167201}">
      <dsp:nvSpPr>
        <dsp:cNvPr id="0" name=""/>
        <dsp:cNvSpPr/>
      </dsp:nvSpPr>
      <dsp:spPr>
        <a:xfrm>
          <a:off x="3172166" y="1767871"/>
          <a:ext cx="1950002" cy="921600"/>
        </a:xfrm>
        <a:prstGeom prst="roundRect">
          <a:avLst>
            <a:gd name="adj" fmla="val 10000"/>
          </a:avLst>
        </a:prstGeom>
        <a:solidFill>
          <a:schemeClr val="lt1">
            <a:alpha val="90000"/>
            <a:hueOff val="0"/>
            <a:satOff val="0"/>
            <a:lumOff val="0"/>
            <a:alphaOff val="0"/>
          </a:schemeClr>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85344" tIns="85344" rIns="85344" bIns="85344" numCol="1" spcCol="1270" anchor="t" anchorCtr="0">
          <a:noAutofit/>
        </a:bodyPr>
        <a:lstStyle/>
        <a:p>
          <a:pPr marL="114300" lvl="1" indent="-114300" algn="ctr" defTabSz="533400">
            <a:lnSpc>
              <a:spcPct val="90000"/>
            </a:lnSpc>
            <a:spcBef>
              <a:spcPct val="0"/>
            </a:spcBef>
            <a:spcAft>
              <a:spcPct val="15000"/>
            </a:spcAft>
            <a:buChar char="•"/>
          </a:pPr>
          <a:r>
            <a:rPr lang="en-US" sz="1200" kern="1200">
              <a:latin typeface="Arial" panose="020B0604020202020204" pitchFamily="34" charset="0"/>
              <a:cs typeface="Arial" panose="020B0604020202020204" pitchFamily="34" charset="0"/>
            </a:rPr>
            <a:t>2 Simulacros al Año</a:t>
          </a:r>
          <a:endParaRPr lang="en-US" sz="1200" b="1" kern="1200">
            <a:latin typeface="Arial" panose="020B0604020202020204" pitchFamily="34" charset="0"/>
            <a:cs typeface="Arial" panose="020B0604020202020204" pitchFamily="34" charset="0"/>
          </a:endParaRPr>
        </a:p>
      </dsp:txBody>
      <dsp:txXfrm>
        <a:off x="3199159" y="1794864"/>
        <a:ext cx="1896016" cy="867614"/>
      </dsp:txXfrm>
    </dsp:sp>
  </dsp:spTree>
</dsp:drawing>
</file>

<file path=word/diagrams/layout1.xml><?xml version="1.0" encoding="utf-8"?>
<dgm:layoutDef xmlns:dgm="http://schemas.openxmlformats.org/drawingml/2006/diagram" xmlns:a="http://schemas.openxmlformats.org/drawingml/2006/main" uniqueId="urn:microsoft.com/office/officeart/2005/8/layout/process3">
  <dgm:title val=""/>
  <dgm:desc val=""/>
  <dgm:catLst>
    <dgm:cat type="process" pri="2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3" destOrd="0"/>
        <dgm:cxn modelId="12" srcId="1" destId="11" srcOrd="0" destOrd="0"/>
        <dgm:cxn modelId="23" srcId="2" destId="21" srcOrd="0" destOrd="0"/>
        <dgm:cxn modelId="34" srcId="3" destId="31" srcOrd="0" destOrd="0"/>
      </dgm:cxnLst>
      <dgm:bg/>
      <dgm:whole/>
    </dgm:dataModel>
  </dgm:sampData>
  <dgm:style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osite" refType="w"/>
      <dgm:constr type="w" for="ch" ptType="sibTrans" refType="w" refFor="ch" refForName="composite" fact="0.3333"/>
      <dgm:constr type="w" for="des" forName="parTx"/>
      <dgm:constr type="h" for="des" forName="parTx" op="equ"/>
      <dgm:constr type="h" for="des" forName="parSh" op="equ"/>
      <dgm:constr type="w" for="des" forName="desTx"/>
      <dgm:constr type="h" for="des" forName="desTx" op="equ"/>
      <dgm:constr type="w" for="des" forName="parSh"/>
      <dgm:constr type="primFontSz" for="des" forName="parTx" val="65"/>
      <dgm:constr type="secFontSz" for="des" forName="desTx" refType="primFontSz" refFor="des" refForName="parTx" op="equ"/>
      <dgm:constr type="primFontSz" for="des" forName="connTx" refType="primFontSz" refFor="des" refForName="parTx" fact="0.8"/>
      <dgm:constr type="primFontSz" for="des" forName="connTx" refType="primFontSz" refFor="des" refForName="parTx" op="lte" fact="0.8"/>
      <dgm:constr type="h" for="des" forName="parTx" refType="primFontSz" refFor="des" refForName="parTx" fact="0.8"/>
      <dgm:constr type="h" for="des" forName="parSh" refType="primFontSz" refFor="des" refForName="parTx" fact="1.2"/>
      <dgm:constr type="h" for="des" forName="desTx" refType="primFontSz" refFor="des" refForName="parTx" fact="1.6"/>
      <dgm:constr type="h" for="des" forName="parSh" refType="h" refFor="des" refForName="parTx" op="lte" fact="1.5"/>
      <dgm:constr type="h" for="des" forName="parSh" refType="h" refFor="des" refForName="parTx" op="gte" fact="1.5"/>
    </dgm:constrLst>
    <dgm:ruleLst>
      <dgm:rule type="w" for="ch" forName="composite" val="0" fact="NaN" max="NaN"/>
      <dgm:rule type="primFontSz" for="des" forName="parTx" val="5" fact="NaN" max="NaN"/>
    </dgm:ruleLst>
    <dgm:forEach name="Name3" axis="ch" ptType="node">
      <dgm:layoutNode name="composite">
        <dgm:alg type="composite"/>
        <dgm:shape xmlns:r="http://schemas.openxmlformats.org/officeDocument/2006/relationships" r:blip="">
          <dgm:adjLst/>
        </dgm:shape>
        <dgm:presOf/>
        <dgm:choose name="Name4">
          <dgm:if name="Name5" func="var" arg="dir" op="equ" val="norm">
            <dgm:constrLst>
              <dgm:constr type="h" refType="w" fact="1000"/>
              <dgm:constr type="l" for="ch" forName="parTx"/>
              <dgm:constr type="w" for="ch" forName="parTx" refType="w" fact="0.83"/>
              <dgm:constr type="t" for="ch" forName="parTx"/>
              <dgm:constr type="l" for="ch" forName="parSh"/>
              <dgm:constr type="w" for="ch" forName="parSh" refType="w" refFor="ch" refForName="parTx"/>
              <dgm:constr type="t" for="ch" forName="parSh"/>
              <dgm:constr type="l" for="ch" forName="desTx" refType="w" fact="0.17"/>
              <dgm:constr type="w" for="ch" forName="desTx" refType="w" refFor="ch" refForName="parTx"/>
              <dgm:constr type="t" for="ch" forName="desTx" refType="h" refFor="ch" refForName="parTx"/>
            </dgm:constrLst>
          </dgm:if>
          <dgm:else name="Name6">
            <dgm:constrLst>
              <dgm:constr type="h" refType="w" fact="1000"/>
              <dgm:constr type="l" for="ch" forName="parTx" refType="w" fact="0.17"/>
              <dgm:constr type="w" for="ch" forName="parTx" refType="w" fact="0.83"/>
              <dgm:constr type="t" for="ch" forName="parTx"/>
              <dgm:constr type="l" for="ch" forName="parSh" refType="w" fact="0.15"/>
              <dgm:constr type="w" for="ch" forName="parSh" refType="w" refFor="ch" refForName="parTx"/>
              <dgm:constr type="t" for="ch" forName="parSh"/>
              <dgm:constr type="l" for="ch" forName="desTx"/>
              <dgm:constr type="w" for="ch" forName="desTx" refType="w" refFor="ch" refForName="parTx"/>
              <dgm:constr type="t" for="ch" forName="desTx" refType="h" refFor="ch" refForName="parTx"/>
            </dgm:constrLst>
          </dgm:else>
        </dgm:choose>
        <dgm:ruleLst>
          <dgm:rule type="h" val="INF" fact="NaN" max="NaN"/>
        </dgm:ruleLst>
        <dgm:layoutNode name="parTx">
          <dgm:varLst>
            <dgm:chMax val="0"/>
            <dgm:chPref val="0"/>
            <dgm:bulletEnabled val="1"/>
          </dgm:varLst>
          <dgm:alg type="tx">
            <dgm:param type="parTxLTRAlign" val="l"/>
            <dgm:param type="parTxRTLAlign" val="r"/>
            <dgm:param type="txAnchorVert" val="t"/>
          </dgm:alg>
          <dgm:shape xmlns:r="http://schemas.openxmlformats.org/officeDocument/2006/relationships" type="rect" r:blip="" zOrderOff="1" hideGeom="1">
            <dgm:adjLst>
              <dgm:adj idx="1" val="0.1"/>
            </dgm:adjLst>
          </dgm:shape>
          <dgm:presOf axis="self" ptType="node"/>
          <dgm:constrLst>
            <dgm:constr type="h" refType="w" op="lte" fact="0.4"/>
            <dgm:constr type="bMarg" refType="primFontSz" fact="0.3"/>
            <dgm:constr type="h"/>
          </dgm:constrLst>
          <dgm:ruleLst>
            <dgm:rule type="h" val="INF" fact="NaN" max="NaN"/>
          </dgm:ruleLst>
        </dgm:layoutNode>
        <dgm:layoutNode name="parSh">
          <dgm:alg type="sp"/>
          <dgm:shape xmlns:r="http://schemas.openxmlformats.org/officeDocument/2006/relationships" type="roundRect" r:blip="">
            <dgm:adjLst>
              <dgm:adj idx="1" val="0.1"/>
            </dgm:adjLst>
          </dgm:shape>
          <dgm:presOf axis="self" ptType="node"/>
          <dgm:constrLst>
            <dgm:constr type="h"/>
          </dgm:constrLst>
          <dgm:ruleLst/>
        </dgm:layoutNode>
        <dgm:layoutNode name="desTx" styleLbl="fgAcc1">
          <dgm:varLst>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secFontSz" val="65"/>
            <dgm:constr type="primFontSz" refType="secFontSz"/>
            <dgm:constr type="h"/>
          </dgm:constrLst>
          <dgm:ruleLst>
            <dgm:rule type="h" val="INF" fact="NaN" max="NaN"/>
          </dgm:ruleLst>
        </dgm:layoutNode>
      </dgm:layoutNode>
      <dgm:forEach name="sibTransForEach" axis="followSib" ptType="sibTrans" cnt="1">
        <dgm:layoutNode name="sibTrans">
          <dgm:alg type="conn">
            <dgm:param type="begPts" val="auto"/>
            <dgm:param type="endPts" val="auto"/>
            <dgm:param type="srcNode" val="parTx"/>
            <dgm:param type="dstNode" val="parTx"/>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Tx">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4422792ABDF6274AAEE37F1AC33E4823" ma:contentTypeVersion="10" ma:contentTypeDescription="Crear nuevo documento." ma:contentTypeScope="" ma:versionID="efead4b60678062e8751e1765f7e4912">
  <xsd:schema xmlns:xsd="http://www.w3.org/2001/XMLSchema" xmlns:xs="http://www.w3.org/2001/XMLSchema" xmlns:p="http://schemas.microsoft.com/office/2006/metadata/properties" xmlns:ns2="09bf8717-4e98-43db-b5e5-c081df2473c3" xmlns:ns3="8d988486-dc26-415e-a43e-35bb66adf786" targetNamespace="http://schemas.microsoft.com/office/2006/metadata/properties" ma:root="true" ma:fieldsID="6011d946b8105324cc1b4d38cb03c596" ns2:_="" ns3:_="">
    <xsd:import namespace="09bf8717-4e98-43db-b5e5-c081df2473c3"/>
    <xsd:import namespace="8d988486-dc26-415e-a43e-35bb66adf78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OCR"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bf8717-4e98-43db-b5e5-c081df2473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d988486-dc26-415e-a43e-35bb66adf786"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18E3F82-41B5-4B36-AE32-57E9D046DFD3}">
  <ds:schemaRefs>
    <ds:schemaRef ds:uri="http://schemas.microsoft.com/sharepoint/v3/contenttype/forms"/>
  </ds:schemaRefs>
</ds:datastoreItem>
</file>

<file path=customXml/itemProps2.xml><?xml version="1.0" encoding="utf-8"?>
<ds:datastoreItem xmlns:ds="http://schemas.openxmlformats.org/officeDocument/2006/customXml" ds:itemID="{2ED80469-D3E5-46EA-B943-74CEF9228F1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66A44F3-CEDF-4713-A79E-C1BA841B90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bf8717-4e98-43db-b5e5-c081df2473c3"/>
    <ds:schemaRef ds:uri="8d988486-dc26-415e-a43e-35bb66adf7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862</Words>
  <Characters>4742</Characters>
  <Application>Microsoft Office Word</Application>
  <DocSecurity>0</DocSecurity>
  <Lines>39</Lines>
  <Paragraphs>11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Alejandra Quiñones Prieto</dc:creator>
  <cp:keywords/>
  <dc:description/>
  <cp:lastModifiedBy>Martha Herrera Medina</cp:lastModifiedBy>
  <cp:revision>13</cp:revision>
  <cp:lastPrinted>2019-05-24T18:37:00Z</cp:lastPrinted>
  <dcterms:created xsi:type="dcterms:W3CDTF">2018-05-18T17:24:00Z</dcterms:created>
  <dcterms:modified xsi:type="dcterms:W3CDTF">2026-01-10T05:26:00Z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0x0101004422792ABDF6274AAEE37F1AC33E4823</vt:lpwstr>
  </property>
</Properties>
</file>